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B7" w:rsidRPr="00DD2D08" w:rsidRDefault="004702F5" w:rsidP="004702F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D2D08">
        <w:rPr>
          <w:rFonts w:ascii="Times New Roman" w:hAnsi="Times New Roman" w:cs="Times New Roman"/>
          <w:sz w:val="24"/>
          <w:szCs w:val="24"/>
          <w:u w:val="single"/>
        </w:rPr>
        <w:t>Alternative Contracting Process – SEP 14</w:t>
      </w:r>
    </w:p>
    <w:p w:rsidR="004702F5" w:rsidRPr="00DD2D08" w:rsidRDefault="004702F5" w:rsidP="004702F5">
      <w:pPr>
        <w:rPr>
          <w:rFonts w:ascii="Times New Roman" w:hAnsi="Times New Roman" w:cs="Times New Roman"/>
          <w:sz w:val="24"/>
          <w:szCs w:val="24"/>
        </w:rPr>
      </w:pPr>
      <w:r w:rsidRPr="00DD2D08">
        <w:rPr>
          <w:rFonts w:ascii="Times New Roman" w:hAnsi="Times New Roman" w:cs="Times New Roman"/>
          <w:sz w:val="24"/>
          <w:szCs w:val="24"/>
        </w:rPr>
        <w:t>Construction Manager General Contractor (CM/GC)</w:t>
      </w:r>
      <w:r w:rsidR="00B65AC0" w:rsidRPr="00DD2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AC0" w:rsidRPr="00DD2D08" w:rsidRDefault="00637FA4" w:rsidP="00DD2D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D08" w:rsidRPr="00DD2D08">
        <w:rPr>
          <w:rFonts w:ascii="Times New Roman" w:hAnsi="Times New Roman" w:cs="Times New Roman"/>
          <w:sz w:val="24"/>
          <w:szCs w:val="24"/>
        </w:rPr>
        <w:t>Ann</w:t>
      </w:r>
      <w:r w:rsidR="00B65AC0" w:rsidRPr="00DD2D08">
        <w:rPr>
          <w:rFonts w:ascii="Times New Roman" w:hAnsi="Times New Roman" w:cs="Times New Roman"/>
          <w:sz w:val="24"/>
          <w:szCs w:val="24"/>
        </w:rPr>
        <w:t>ual Report</w:t>
      </w:r>
    </w:p>
    <w:p w:rsidR="001C5EB3" w:rsidRPr="00DD2D08" w:rsidRDefault="001C5EB3" w:rsidP="00DD2D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2D08" w:rsidRPr="00DD2D08" w:rsidRDefault="00DD2D08" w:rsidP="00DD2D0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D2D08"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DD2D08" w:rsidRPr="00DD2D08" w:rsidRDefault="00DD2D08" w:rsidP="00DD2D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02F5" w:rsidRPr="00DD2D08" w:rsidRDefault="004702F5" w:rsidP="00AC19FE">
      <w:pPr>
        <w:jc w:val="both"/>
        <w:rPr>
          <w:rFonts w:ascii="Times New Roman" w:hAnsi="Times New Roman" w:cs="Times New Roman"/>
          <w:sz w:val="24"/>
          <w:szCs w:val="24"/>
        </w:rPr>
      </w:pPr>
      <w:r w:rsidRPr="00DD2D08">
        <w:rPr>
          <w:rFonts w:ascii="Times New Roman" w:hAnsi="Times New Roman" w:cs="Times New Roman"/>
          <w:sz w:val="24"/>
          <w:szCs w:val="24"/>
        </w:rPr>
        <w:t xml:space="preserve">The Colorado Department of Transportation (CDOT) and the Federal Highway Administration (FHWA) </w:t>
      </w:r>
      <w:proofErr w:type="gramStart"/>
      <w:r w:rsidR="00DD2D08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5A4303" w:rsidRPr="00DD2D08">
        <w:rPr>
          <w:rFonts w:ascii="Times New Roman" w:hAnsi="Times New Roman" w:cs="Times New Roman"/>
          <w:sz w:val="24"/>
          <w:szCs w:val="24"/>
        </w:rPr>
        <w:t xml:space="preserve"> developed a Special Experimental Project</w:t>
      </w:r>
      <w:r w:rsidRPr="00DD2D08">
        <w:rPr>
          <w:rFonts w:ascii="Times New Roman" w:hAnsi="Times New Roman" w:cs="Times New Roman"/>
          <w:sz w:val="24"/>
          <w:szCs w:val="24"/>
        </w:rPr>
        <w:t xml:space="preserve"> </w:t>
      </w:r>
      <w:r w:rsidR="005A4303" w:rsidRPr="00DD2D08">
        <w:rPr>
          <w:rFonts w:ascii="Times New Roman" w:hAnsi="Times New Roman" w:cs="Times New Roman"/>
          <w:sz w:val="24"/>
          <w:szCs w:val="24"/>
        </w:rPr>
        <w:t>Number 14 (</w:t>
      </w:r>
      <w:r w:rsidRPr="00DD2D08">
        <w:rPr>
          <w:rFonts w:ascii="Times New Roman" w:hAnsi="Times New Roman" w:cs="Times New Roman"/>
          <w:sz w:val="24"/>
          <w:szCs w:val="24"/>
        </w:rPr>
        <w:t>SEP-14</w:t>
      </w:r>
      <w:r w:rsidR="005A4303" w:rsidRPr="00DD2D08">
        <w:rPr>
          <w:rFonts w:ascii="Times New Roman" w:hAnsi="Times New Roman" w:cs="Times New Roman"/>
          <w:sz w:val="24"/>
          <w:szCs w:val="24"/>
        </w:rPr>
        <w:t>)</w:t>
      </w:r>
      <w:r w:rsidRPr="00DD2D08">
        <w:rPr>
          <w:rFonts w:ascii="Times New Roman" w:hAnsi="Times New Roman" w:cs="Times New Roman"/>
          <w:sz w:val="24"/>
          <w:szCs w:val="24"/>
        </w:rPr>
        <w:t xml:space="preserve"> work plan for the use of the Construction Manager Gene</w:t>
      </w:r>
      <w:r w:rsidR="00951389" w:rsidRPr="00DD2D08">
        <w:rPr>
          <w:rFonts w:ascii="Times New Roman" w:hAnsi="Times New Roman" w:cs="Times New Roman"/>
          <w:sz w:val="24"/>
          <w:szCs w:val="24"/>
        </w:rPr>
        <w:t>ral Contractor (CM/GC) techniqu</w:t>
      </w:r>
      <w:r w:rsidRPr="00DD2D08">
        <w:rPr>
          <w:rFonts w:ascii="Times New Roman" w:hAnsi="Times New Roman" w:cs="Times New Roman"/>
          <w:sz w:val="24"/>
          <w:szCs w:val="24"/>
        </w:rPr>
        <w:t>e on transportation projects.</w:t>
      </w:r>
    </w:p>
    <w:p w:rsidR="004702F5" w:rsidRPr="00DD2D08" w:rsidRDefault="004702F5" w:rsidP="00AC1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389" w:rsidRDefault="00DD2D08" w:rsidP="00AC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this work plan, CDOT is required to submit an annual report to FHWA Colorado Division each year summarizing the CM/GC activities of that particular calendar year.  This report is for calendar year 2011 where CDOT saw the completion of one CM/GC project, the I-70 Eisenhower Tunnel switchgear project.  It is worth mentioning that CDOT has also started procuring 3 other CM/GC projects in late 2011, where the RFP’s have been released.  CDOT will fully report on these projects in the 2012 Annual CM/GC Report, as these projects have just started.</w:t>
      </w:r>
    </w:p>
    <w:p w:rsidR="00DD2D08" w:rsidRDefault="00DD2D08" w:rsidP="00AC1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5DB" w:rsidRDefault="007E05DB" w:rsidP="00AC1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D08" w:rsidRPr="00A8239A" w:rsidRDefault="00A8239A" w:rsidP="00AC1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39A">
        <w:rPr>
          <w:rFonts w:ascii="Times New Roman" w:hAnsi="Times New Roman" w:cs="Times New Roman"/>
          <w:b/>
          <w:sz w:val="24"/>
          <w:szCs w:val="24"/>
        </w:rPr>
        <w:t>2. Criteria</w:t>
      </w:r>
    </w:p>
    <w:p w:rsidR="00A8239A" w:rsidRDefault="00A8239A" w:rsidP="00AC1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39A" w:rsidRDefault="00A8239A" w:rsidP="00AC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Initially, CDOT and FHWA identified thirteen criteria for evaluating the applicability of the CM/GC process in order to analyze the benefits provided by the CM/GC process as it relates to these criteria: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Project Complexity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Opportunity for Innovation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Delivery Schedule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Level of Design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Project Unknowns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Staff Experience/Availability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Level of Oversight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Risk Allocation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Competition and Availability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Resource Availability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Team Experience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Third Party Involvement</w:t>
      </w:r>
    </w:p>
    <w:p w:rsidR="00A8239A" w:rsidRPr="00EE7D4D" w:rsidRDefault="00A8239A" w:rsidP="00AC19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D4D">
        <w:rPr>
          <w:rFonts w:ascii="Times New Roman" w:hAnsi="Times New Roman" w:cs="Times New Roman"/>
          <w:sz w:val="24"/>
          <w:szCs w:val="24"/>
        </w:rPr>
        <w:t>Regulations and Clearances</w:t>
      </w:r>
    </w:p>
    <w:p w:rsidR="00A8239A" w:rsidRDefault="00A8239A" w:rsidP="00AC1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065" w:rsidRDefault="00A8239A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these factors were based on an original version of the </w:t>
      </w:r>
      <w:r w:rsidR="00A50065">
        <w:rPr>
          <w:rFonts w:ascii="Times New Roman" w:hAnsi="Times New Roman" w:cs="Times New Roman"/>
          <w:sz w:val="24"/>
          <w:szCs w:val="24"/>
        </w:rPr>
        <w:t xml:space="preserve">risk-based </w:t>
      </w:r>
      <w:r>
        <w:rPr>
          <w:rFonts w:ascii="Times New Roman" w:hAnsi="Times New Roman" w:cs="Times New Roman"/>
          <w:sz w:val="24"/>
          <w:szCs w:val="24"/>
        </w:rPr>
        <w:t>project delivery selection matrix created by members of the Innovative Contracting Advisory Committee (ICAC)</w:t>
      </w:r>
      <w:r w:rsidR="00A50065">
        <w:rPr>
          <w:rFonts w:ascii="Times New Roman" w:hAnsi="Times New Roman" w:cs="Times New Roman"/>
          <w:sz w:val="24"/>
          <w:szCs w:val="24"/>
        </w:rPr>
        <w:t>.  To improve the original matrix and make it more understandable, efficient, less redundant, and easier to use, the latest version of the matrix reduces th</w:t>
      </w:r>
      <w:r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C19FE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065">
        <w:rPr>
          <w:rFonts w:ascii="Times New Roman" w:hAnsi="Times New Roman" w:cs="Times New Roman"/>
          <w:color w:val="000000" w:themeColor="text1"/>
          <w:sz w:val="24"/>
          <w:szCs w:val="24"/>
        </w:rPr>
        <w:t>criteria from 13 factors to 8 factors.</w:t>
      </w:r>
    </w:p>
    <w:p w:rsidR="00A50065" w:rsidRDefault="00A50065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39A" w:rsidRPr="00DD2D08" w:rsidRDefault="002A2861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AC19FE">
        <w:rPr>
          <w:rFonts w:ascii="Times New Roman" w:hAnsi="Times New Roman" w:cs="Times New Roman"/>
          <w:color w:val="000000" w:themeColor="text1"/>
          <w:sz w:val="24"/>
          <w:szCs w:val="24"/>
        </w:rPr>
        <w:t>brief, a</w:t>
      </w:r>
      <w:r w:rsidR="00A8239A"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 of the same factors and considerations are </w:t>
      </w:r>
      <w:r w:rsidR="00AC19FE">
        <w:rPr>
          <w:rFonts w:ascii="Times New Roman" w:hAnsi="Times New Roman" w:cs="Times New Roman"/>
          <w:color w:val="000000" w:themeColor="text1"/>
          <w:sz w:val="24"/>
          <w:szCs w:val="24"/>
        </w:rPr>
        <w:t>considered in the new m</w:t>
      </w:r>
      <w:r w:rsidR="00A8239A"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>atrix,</w:t>
      </w:r>
      <w:r w:rsidR="004B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in a more efficient manner.  Below is a summary of the changes:</w:t>
      </w:r>
    </w:p>
    <w:p w:rsidR="004B46E3" w:rsidRDefault="00AC19FE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Opportunity for I</w:t>
      </w:r>
      <w:r w:rsidR="00A8239A"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nnovation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Project C</w:t>
      </w:r>
      <w:r w:rsidR="004B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omplexity were </w:t>
      </w:r>
      <w:r w:rsidR="00A8239A"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 and were combined (the manner that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</w:t>
      </w:r>
      <w:r w:rsidR="00A8239A"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>delivery methods address both those factors is the same)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4B46E3" w:rsidRDefault="004B46E3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E3" w:rsidRDefault="00AC19FE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Project U</w:t>
      </w:r>
      <w:r w:rsidR="00A8239A"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>nknowns is inherent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both the risk assessment and Level of Design</w:t>
      </w:r>
      <w:r w:rsidR="004B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4B46E3" w:rsidRDefault="004B46E3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39A" w:rsidRPr="00DD2D08" w:rsidRDefault="00A8239A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>Staff Experience/Availability, Competition and Availability, Resource Availability</w:t>
      </w:r>
      <w:r w:rsidR="004B46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Team Experience were somewhat unclear in the distinction between them and they had redundant factors.  To improve the understanding and efficiency of the process they were </w:t>
      </w:r>
      <w:r w:rsidR="002A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coalesced </w:t>
      </w:r>
      <w:r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>into t</w:t>
      </w:r>
      <w:r w:rsidR="004B46E3">
        <w:rPr>
          <w:rFonts w:ascii="Times New Roman" w:hAnsi="Times New Roman" w:cs="Times New Roman"/>
          <w:color w:val="000000" w:themeColor="text1"/>
          <w:sz w:val="24"/>
          <w:szCs w:val="24"/>
        </w:rPr>
        <w:t>wo factors: Staff Experience/</w:t>
      </w:r>
      <w:r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Availability (Owner) and Competition and Contractor Experience.  </w:t>
      </w:r>
    </w:p>
    <w:p w:rsidR="00A8239A" w:rsidRPr="00DD2D08" w:rsidRDefault="00A8239A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39A" w:rsidRPr="00DD2D08" w:rsidRDefault="004B46E3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 Party Involvement and Regulations and C</w:t>
      </w:r>
      <w:r w:rsidR="00A8239A"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>learance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8239A"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both ver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important aspects of the Risk </w:t>
      </w:r>
      <w:r w:rsidR="00A8239A" w:rsidRPr="00DD2D08">
        <w:rPr>
          <w:rFonts w:ascii="Times New Roman" w:hAnsi="Times New Roman" w:cs="Times New Roman"/>
          <w:color w:val="000000" w:themeColor="text1"/>
          <w:sz w:val="24"/>
          <w:szCs w:val="24"/>
        </w:rPr>
        <w:t>Assessment and are thoroughly covered in that section.   They were redundant considerations in the original matrix.</w:t>
      </w:r>
      <w:r w:rsidR="00A8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239A" w:rsidRPr="00DD2D08" w:rsidRDefault="00A8239A" w:rsidP="00AC19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39A" w:rsidRDefault="004B46E3" w:rsidP="00AC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8 factors are:</w:t>
      </w:r>
    </w:p>
    <w:p w:rsidR="004B46E3" w:rsidRPr="00FA48CA" w:rsidRDefault="004B46E3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6E3" w:rsidRPr="00FA48CA" w:rsidRDefault="004B46E3" w:rsidP="004B46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Delivery Schedule</w:t>
      </w:r>
    </w:p>
    <w:p w:rsidR="004B46E3" w:rsidRPr="00FA48CA" w:rsidRDefault="004B46E3" w:rsidP="004B46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Project Complexity and Innovation</w:t>
      </w:r>
    </w:p>
    <w:p w:rsidR="004B46E3" w:rsidRPr="00FA48CA" w:rsidRDefault="004B46E3" w:rsidP="004B46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Level of Design</w:t>
      </w:r>
    </w:p>
    <w:p w:rsidR="004B46E3" w:rsidRPr="00FA48CA" w:rsidRDefault="004B46E3" w:rsidP="004B46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Initial Project Risk</w:t>
      </w:r>
    </w:p>
    <w:p w:rsidR="004B46E3" w:rsidRPr="00FA48CA" w:rsidRDefault="004B46E3" w:rsidP="004B46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Cost</w:t>
      </w:r>
    </w:p>
    <w:p w:rsidR="004B46E3" w:rsidRPr="00FA48CA" w:rsidRDefault="004B46E3" w:rsidP="004B46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Staff Experience/Availability (Owner)</w:t>
      </w:r>
    </w:p>
    <w:p w:rsidR="004B46E3" w:rsidRPr="00FA48CA" w:rsidRDefault="004B46E3" w:rsidP="004B46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Level of Oversight and Control</w:t>
      </w:r>
    </w:p>
    <w:p w:rsidR="004B46E3" w:rsidRPr="00FA48CA" w:rsidRDefault="004B46E3" w:rsidP="004B46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Competition and Contractor Experience</w:t>
      </w:r>
    </w:p>
    <w:p w:rsidR="004B46E3" w:rsidRPr="00FA48CA" w:rsidRDefault="004B46E3" w:rsidP="004B46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C2A" w:rsidRDefault="00E45C2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1389" w:rsidRPr="00FA48CA" w:rsidRDefault="00A8239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D2D08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65AC0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 of Projects</w:t>
      </w:r>
    </w:p>
    <w:p w:rsidR="00DD2D08" w:rsidRPr="00FA48CA" w:rsidRDefault="00DD2D08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72F4" w:rsidRPr="00FA48CA" w:rsidRDefault="00DD2D08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  <w:r w:rsidR="002A2861" w:rsidRPr="002A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861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976B58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: IM 703-248 17148 (I-70 Eisenhower Johnson Memorial Tunnel 2400v Switchgear Project)</w:t>
      </w:r>
      <w:r w:rsidR="000272F4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4774A" w:rsidRPr="00FA48CA" w:rsidRDefault="0094774A" w:rsidP="000272F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This was CDOT’s first CM/GC project.</w:t>
      </w:r>
    </w:p>
    <w:p w:rsidR="00A50633" w:rsidRPr="00FA48CA" w:rsidRDefault="00A50633" w:rsidP="000272F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Original project risk was high because of the unknown risk of electrical field conditions, actual wire lengths, and owner experience with electrical projects. </w:t>
      </w:r>
    </w:p>
    <w:p w:rsidR="00362420" w:rsidRPr="00FA48CA" w:rsidRDefault="00362420" w:rsidP="000272F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Original Delivery Schedule:18 months</w:t>
      </w:r>
    </w:p>
    <w:p w:rsidR="00362420" w:rsidRPr="00FA48CA" w:rsidRDefault="00362420" w:rsidP="0036242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6 Months Preconstruction Phase</w:t>
      </w:r>
    </w:p>
    <w:p w:rsidR="00362420" w:rsidRPr="00FA48CA" w:rsidRDefault="00362420" w:rsidP="0036242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6 months Procuremen</w:t>
      </w:r>
      <w:r w:rsidR="003B1B62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</w:p>
    <w:p w:rsidR="00362420" w:rsidRPr="00FA48CA" w:rsidRDefault="00A50633" w:rsidP="0036242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62420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Months Construction Phase</w:t>
      </w:r>
    </w:p>
    <w:p w:rsidR="00362420" w:rsidRPr="00FA48CA" w:rsidRDefault="00362420" w:rsidP="0036242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Final Delivery Schedule:</w:t>
      </w:r>
      <w:r w:rsidR="00A50633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13 months</w:t>
      </w:r>
    </w:p>
    <w:p w:rsidR="000272F4" w:rsidRPr="00FA48CA" w:rsidRDefault="000272F4" w:rsidP="0036242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Preconstruction Phase: 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2420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November 2010 to August 2011</w:t>
      </w:r>
    </w:p>
    <w:p w:rsidR="000272F4" w:rsidRPr="00FA48CA" w:rsidRDefault="000272F4" w:rsidP="0036242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LLTP (Long</w:t>
      </w:r>
      <w:r w:rsidR="00362420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 Time Procurement) Phase: 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April 2011 to October 2011</w:t>
      </w:r>
    </w:p>
    <w:p w:rsidR="000272F4" w:rsidRPr="00FA48CA" w:rsidRDefault="003B1B62" w:rsidP="003B1B62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Construction Phase: 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0272F4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August 2011 to December 2011</w:t>
      </w:r>
    </w:p>
    <w:p w:rsidR="00A50633" w:rsidRPr="00FA48CA" w:rsidRDefault="00A50633" w:rsidP="00A5063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28% overall schedule savings or 5 months.</w:t>
      </w:r>
    </w:p>
    <w:p w:rsidR="001C5EB3" w:rsidRPr="00FA48CA" w:rsidRDefault="001C5EB3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C2A" w:rsidRDefault="00E45C2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C2A" w:rsidRDefault="00E45C2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C2A" w:rsidRDefault="00E45C2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5399" w:rsidRDefault="00A8239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="00DD2D08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65AC0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Budget Analysis</w:t>
      </w:r>
    </w:p>
    <w:p w:rsidR="00E45C2A" w:rsidRPr="00FA48CA" w:rsidRDefault="00E45C2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72F4" w:rsidRPr="00FA48CA" w:rsidRDefault="000272F4" w:rsidP="000272F4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Design Budget:</w:t>
      </w:r>
    </w:p>
    <w:p w:rsidR="000272F4" w:rsidRPr="00FA48CA" w:rsidRDefault="000272F4" w:rsidP="000272F4">
      <w:pPr>
        <w:pStyle w:val="ListParagraph"/>
        <w:numPr>
          <w:ilvl w:val="1"/>
          <w:numId w:val="1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Original Design Budget Estimate: $650,000 </w:t>
      </w:r>
    </w:p>
    <w:p w:rsidR="000272F4" w:rsidRPr="00FA48CA" w:rsidRDefault="000272F4" w:rsidP="000272F4">
      <w:pPr>
        <w:pStyle w:val="ListParagraph"/>
        <w:numPr>
          <w:ilvl w:val="2"/>
          <w:numId w:val="1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Final Design, Construction Support, and no CM/GC Services</w:t>
      </w:r>
    </w:p>
    <w:p w:rsidR="000272F4" w:rsidRPr="00FA48CA" w:rsidRDefault="000272F4" w:rsidP="000272F4">
      <w:pPr>
        <w:pStyle w:val="ListParagraph"/>
        <w:numPr>
          <w:ilvl w:val="1"/>
          <w:numId w:val="1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 Design Expenditures:  $474,100 </w:t>
      </w:r>
    </w:p>
    <w:p w:rsidR="000272F4" w:rsidRPr="00FA48CA" w:rsidRDefault="000272F4" w:rsidP="000272F4">
      <w:pPr>
        <w:pStyle w:val="ListParagraph"/>
        <w:numPr>
          <w:ilvl w:val="2"/>
          <w:numId w:val="1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Final Design, Construction Support, and CM/GC Services</w:t>
      </w:r>
    </w:p>
    <w:p w:rsidR="000272F4" w:rsidRPr="00FA48CA" w:rsidRDefault="000272F4" w:rsidP="000272F4">
      <w:pPr>
        <w:pStyle w:val="ListParagraph"/>
        <w:numPr>
          <w:ilvl w:val="1"/>
          <w:numId w:val="1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Design Savings: 27% over original estimate.</w:t>
      </w:r>
    </w:p>
    <w:p w:rsidR="000272F4" w:rsidRPr="00FA48CA" w:rsidRDefault="000272F4" w:rsidP="000272F4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Construction Budget:</w:t>
      </w:r>
    </w:p>
    <w:p w:rsidR="000272F4" w:rsidRPr="00FA48CA" w:rsidRDefault="000272F4" w:rsidP="000272F4">
      <w:pPr>
        <w:pStyle w:val="ListParagraph"/>
        <w:numPr>
          <w:ilvl w:val="1"/>
          <w:numId w:val="1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Original Budget: $2,775,000</w:t>
      </w:r>
    </w:p>
    <w:p w:rsidR="000272F4" w:rsidRPr="00FA48CA" w:rsidRDefault="000272F4" w:rsidP="000272F4">
      <w:pPr>
        <w:pStyle w:val="ListParagraph"/>
        <w:numPr>
          <w:ilvl w:val="1"/>
          <w:numId w:val="1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Scope Added to Budget</w:t>
      </w:r>
      <w:r w:rsidR="002A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(new estimate)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:  $3,527,857</w:t>
      </w:r>
    </w:p>
    <w:p w:rsidR="000272F4" w:rsidRPr="00FA48CA" w:rsidRDefault="000272F4" w:rsidP="000272F4">
      <w:pPr>
        <w:pStyle w:val="ListParagraph"/>
        <w:numPr>
          <w:ilvl w:val="1"/>
          <w:numId w:val="1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 Expenditures: $3, </w:t>
      </w:r>
      <w:r w:rsidR="00B7272C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308,857</w:t>
      </w:r>
    </w:p>
    <w:p w:rsidR="000272F4" w:rsidRPr="00FA48CA" w:rsidRDefault="000272F4" w:rsidP="000272F4">
      <w:pPr>
        <w:pStyle w:val="ListParagraph"/>
        <w:numPr>
          <w:ilvl w:val="2"/>
          <w:numId w:val="12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Savings: </w:t>
      </w:r>
      <w:r w:rsidR="00B7272C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% under final budget.</w:t>
      </w:r>
    </w:p>
    <w:p w:rsidR="00981A9C" w:rsidRPr="00FA48CA" w:rsidRDefault="00981A9C" w:rsidP="00AC19FE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C2A" w:rsidRDefault="00E45C2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1A9C" w:rsidRPr="00FA48CA" w:rsidRDefault="00A8239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D2D08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65AC0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Change Orders</w:t>
      </w:r>
    </w:p>
    <w:p w:rsidR="001C5EB3" w:rsidRPr="00FA48CA" w:rsidRDefault="001C5EB3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5EB3" w:rsidRPr="00FA48CA" w:rsidRDefault="001C5EB3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None reported for calendar year 2011.</w:t>
      </w:r>
      <w:r w:rsidR="00362420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were no unplanned change orders during the construction phase of the 2400v Switchgear project. </w:t>
      </w:r>
      <w:r w:rsidR="0060229D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362420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the contingency force account was utilized for </w:t>
      </w:r>
      <w:r w:rsidR="0060229D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a field change adding emergency override for fire protection for future suppression system planning.</w:t>
      </w:r>
    </w:p>
    <w:p w:rsidR="001C5EB3" w:rsidRDefault="001C5EB3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C2A" w:rsidRPr="00FA48CA" w:rsidRDefault="00E45C2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8E9" w:rsidRDefault="00A8239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D2D08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65AC0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Lessons Learned</w:t>
      </w:r>
    </w:p>
    <w:p w:rsidR="00E45C2A" w:rsidRPr="00FA48CA" w:rsidRDefault="00E45C2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2420" w:rsidRPr="00FA48CA" w:rsidRDefault="00362420" w:rsidP="00362420">
      <w:pPr>
        <w:pStyle w:val="ListParagraph"/>
        <w:numPr>
          <w:ilvl w:val="0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Preconstruction Lessons Learned.</w:t>
      </w:r>
    </w:p>
    <w:p w:rsidR="00362420" w:rsidRPr="00FA48CA" w:rsidRDefault="00362420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Document everything that is addressed or resolved during preconstruction.</w:t>
      </w:r>
    </w:p>
    <w:p w:rsidR="00362420" w:rsidRPr="00FA48CA" w:rsidRDefault="00362420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Be sure of every decision and double check all technical details.</w:t>
      </w:r>
    </w:p>
    <w:p w:rsidR="00362420" w:rsidRPr="00FA48CA" w:rsidRDefault="00362420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Enforce the contract with the contractor as closely as possible.</w:t>
      </w:r>
    </w:p>
    <w:p w:rsidR="00362420" w:rsidRPr="00FA48CA" w:rsidRDefault="00362420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Enforce written reviews and redlined drawing submittals. Have tracked changes logged for all </w:t>
      </w:r>
    </w:p>
    <w:p w:rsidR="00362420" w:rsidRPr="00FA48CA" w:rsidRDefault="00362420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Ensure that the CM/GC services construction manager will be the same during construction. </w:t>
      </w:r>
    </w:p>
    <w:p w:rsidR="00362420" w:rsidRPr="00FA48CA" w:rsidRDefault="00362420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Ensure that construction foreman and supervisors are quickly transitioned into the project so that they understand what they will be building during construction.</w:t>
      </w:r>
    </w:p>
    <w:p w:rsidR="00B7272C" w:rsidRPr="00FA48CA" w:rsidRDefault="00B7272C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 process for vendor selection that includes best value instead of low bid. </w:t>
      </w:r>
    </w:p>
    <w:p w:rsidR="00B7272C" w:rsidRPr="00FA48CA" w:rsidRDefault="00B7272C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Ensure that project manager and construction manager for CM/GC firm understands and knows their contractual requirements.</w:t>
      </w:r>
    </w:p>
    <w:p w:rsidR="003B1B62" w:rsidRPr="00FA48CA" w:rsidRDefault="003B1B62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Require contractor and consultant to submit monthly DBE drawdown and progress reports.</w:t>
      </w:r>
    </w:p>
    <w:p w:rsidR="00A50633" w:rsidRPr="00FA48CA" w:rsidRDefault="00A50633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Use of thorough site visits reduced quantity unknowns.</w:t>
      </w:r>
    </w:p>
    <w:p w:rsidR="00A50633" w:rsidRPr="00FA48CA" w:rsidRDefault="00A50633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Bigger budget electrical projects have limited competition in design consultant and contractor fields.</w:t>
      </w:r>
    </w:p>
    <w:p w:rsidR="00A50633" w:rsidRPr="00FA48CA" w:rsidRDefault="00A50633" w:rsidP="00362420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Electrical contractors should be vetted for</w:t>
      </w:r>
      <w:r w:rsidR="005E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government experience and CM/GC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experience.</w:t>
      </w:r>
    </w:p>
    <w:p w:rsidR="00362420" w:rsidRPr="00FA48CA" w:rsidRDefault="00362420" w:rsidP="00B7272C">
      <w:pPr>
        <w:pStyle w:val="ListParagraph"/>
        <w:ind w:left="14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420" w:rsidRPr="00FA48CA" w:rsidRDefault="00362420" w:rsidP="00362420">
      <w:pPr>
        <w:pStyle w:val="ListParagraph"/>
        <w:numPr>
          <w:ilvl w:val="0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Construction Lessons Learned.</w:t>
      </w:r>
    </w:p>
    <w:p w:rsidR="00B7272C" w:rsidRPr="00FA48CA" w:rsidRDefault="00B7272C" w:rsidP="00B7272C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to move </w:t>
      </w:r>
      <w:r w:rsidR="002A286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define new pay items</w:t>
      </w:r>
      <w:r w:rsidR="002A286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(Construction Fee, General Conditions, and Risk Pool) to Project Special Provisions.</w:t>
      </w:r>
    </w:p>
    <w:p w:rsidR="00B7272C" w:rsidRPr="00FA48CA" w:rsidRDefault="00B7272C" w:rsidP="00B7272C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Contractor teamed with CDOT to pressure and work with vendors to resolve problems on the team’s behalf. </w:t>
      </w:r>
      <w:r w:rsidR="003B1B62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Contractor accepted vendor liquidated damages as negotiated during preconstruction phase.</w:t>
      </w:r>
    </w:p>
    <w:p w:rsidR="00A50633" w:rsidRPr="00FA48CA" w:rsidRDefault="00A50633" w:rsidP="00A50633">
      <w:pPr>
        <w:pStyle w:val="ListParagraph"/>
        <w:ind w:left="14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592" w:rsidRPr="00FA48CA" w:rsidRDefault="00E55592" w:rsidP="00A50633">
      <w:pPr>
        <w:pStyle w:val="ListParagraph"/>
        <w:ind w:left="14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AC0" w:rsidRDefault="00A8239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DD2D08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65AC0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Innovations</w:t>
      </w:r>
    </w:p>
    <w:p w:rsidR="00E45C2A" w:rsidRPr="00FA48CA" w:rsidRDefault="00E45C2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633" w:rsidRPr="00FA48CA" w:rsidRDefault="00A50633" w:rsidP="00A50633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Installed new conduit to mitigate wire and cable coming apart instead of pulling cable through old full conduits.</w:t>
      </w:r>
    </w:p>
    <w:p w:rsidR="00B7272C" w:rsidRPr="00FA48CA" w:rsidRDefault="00A50633" w:rsidP="00B7272C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Replaced all cabinet switchgear in original footprint instead of requiring new locations, additional cost, and additional materials.</w:t>
      </w:r>
    </w:p>
    <w:p w:rsidR="00A50633" w:rsidRPr="00FA48CA" w:rsidRDefault="00A50633" w:rsidP="00B7272C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Installed new type of cable trays for low voltage. </w:t>
      </w:r>
    </w:p>
    <w:p w:rsidR="00A50633" w:rsidRPr="00FA48CA" w:rsidRDefault="00A50633" w:rsidP="00A50633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Early procurement of switchgear led to schedule savings.</w:t>
      </w:r>
    </w:p>
    <w:p w:rsidR="00A50633" w:rsidRPr="00FA48CA" w:rsidRDefault="00A50633" w:rsidP="00A50633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Vendor job showings enabled the team to make good design and procurement decisions.</w:t>
      </w:r>
    </w:p>
    <w:p w:rsidR="00A50633" w:rsidRPr="00FA48CA" w:rsidRDefault="00A50633" w:rsidP="00A50633">
      <w:pPr>
        <w:pStyle w:val="ListParagraph"/>
        <w:numPr>
          <w:ilvl w:val="1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Replacement of old mechanical relays with Programmable Logic Controls enabled cleaner, reduced, and dependable wiring.</w:t>
      </w:r>
    </w:p>
    <w:p w:rsidR="009808E9" w:rsidRDefault="009808E9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C2A" w:rsidRPr="00FA48CA" w:rsidRDefault="00E45C2A" w:rsidP="00AC1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EB3" w:rsidRPr="00FA48CA" w:rsidRDefault="00A8239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D2D08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C5EB3" w:rsidRPr="00FA4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Analysis of Performance Measures</w:t>
      </w:r>
    </w:p>
    <w:p w:rsidR="00A50633" w:rsidRPr="00FA48CA" w:rsidRDefault="00A50633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774A" w:rsidRPr="00FA48CA" w:rsidRDefault="0094774A" w:rsidP="00947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Delivery Schedule</w:t>
      </w:r>
    </w:p>
    <w:p w:rsidR="0094774A" w:rsidRPr="00FA48CA" w:rsidRDefault="0094774A" w:rsidP="0094774A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CDOT completed this project 28% (5 months) faster than the original estimated schedule.</w:t>
      </w:r>
    </w:p>
    <w:p w:rsidR="00E55592" w:rsidRPr="00FA48CA" w:rsidRDefault="00E55592" w:rsidP="00E55592">
      <w:pPr>
        <w:pStyle w:val="ListParagraph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4A" w:rsidRPr="00FA48CA" w:rsidRDefault="0094774A" w:rsidP="00947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Project Complexity and Innovation</w:t>
      </w:r>
    </w:p>
    <w:p w:rsidR="00E55592" w:rsidRPr="00FA48CA" w:rsidRDefault="00E55592" w:rsidP="00E55592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Original project risk was high because of the unknown risk of electrical field conditions, actual wire lengths, and owner experience with electrical projects. </w:t>
      </w:r>
    </w:p>
    <w:p w:rsidR="0094774A" w:rsidRPr="00FA48CA" w:rsidRDefault="00E55592" w:rsidP="00E55592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is very complex electrically especially with 35 year old equipment and cabling. </w:t>
      </w:r>
    </w:p>
    <w:p w:rsidR="00E55592" w:rsidRPr="00FA48CA" w:rsidRDefault="002867F4" w:rsidP="00E55592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Prior projects have had significant value engineering processes, very low bids requiring justification, field change orders, and only small parts of design plans were used.</w:t>
      </w:r>
    </w:p>
    <w:p w:rsidR="00E55592" w:rsidRPr="00FA48CA" w:rsidRDefault="00E55592" w:rsidP="00E55592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4A" w:rsidRPr="00FA48CA" w:rsidRDefault="0094774A" w:rsidP="00947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Level of Design</w:t>
      </w:r>
    </w:p>
    <w:p w:rsidR="0094774A" w:rsidRPr="00FA48CA" w:rsidRDefault="0094774A" w:rsidP="0094774A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Level of design at time of CM/GC procurement was 15%.</w:t>
      </w:r>
    </w:p>
    <w:p w:rsidR="00E55592" w:rsidRPr="00FA48CA" w:rsidRDefault="00E55592" w:rsidP="00E55592">
      <w:pPr>
        <w:pStyle w:val="ListParagraph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4A" w:rsidRPr="00FA48CA" w:rsidRDefault="0094774A" w:rsidP="00947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Initial Project Risk</w:t>
      </w:r>
    </w:p>
    <w:p w:rsidR="00E55592" w:rsidRPr="00FA48CA" w:rsidRDefault="00E55592" w:rsidP="00E55592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Original project risk was high because of the unknown risk of electrical field conditions, actual wire lengths, and owner experience with electrical projects. </w:t>
      </w:r>
    </w:p>
    <w:p w:rsidR="0094774A" w:rsidRPr="00FA48CA" w:rsidRDefault="00E55592" w:rsidP="0094774A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Discovered project risks were much higher than anticipated and risks were mitigated during the preconstruction phase.</w:t>
      </w:r>
    </w:p>
    <w:p w:rsidR="00E55592" w:rsidRPr="00FA48CA" w:rsidRDefault="00E55592" w:rsidP="00E55592">
      <w:pPr>
        <w:pStyle w:val="ListParagraph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4A" w:rsidRPr="00FA48CA" w:rsidRDefault="0094774A" w:rsidP="00947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Cost</w:t>
      </w:r>
    </w:p>
    <w:p w:rsidR="0094774A" w:rsidRPr="00FA48CA" w:rsidRDefault="0094774A" w:rsidP="0094774A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Final expenditures were 6% under final</w:t>
      </w:r>
      <w:r w:rsidR="00E55592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project budget.</w:t>
      </w:r>
    </w:p>
    <w:p w:rsidR="00E55592" w:rsidRPr="00FA48CA" w:rsidRDefault="00E55592" w:rsidP="00E55592">
      <w:pPr>
        <w:pStyle w:val="ListParagraph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4A" w:rsidRPr="00FA48CA" w:rsidRDefault="0094774A" w:rsidP="00947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Staff Experience/Availability (Owner)</w:t>
      </w:r>
    </w:p>
    <w:p w:rsidR="00E55592" w:rsidRPr="00FA48CA" w:rsidRDefault="00E55592" w:rsidP="00E55592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was CDOT’s first CM/GC project that had many of </w:t>
      </w:r>
      <w:r w:rsidR="00705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characteristics of a CM/GC roadway project including long lead time procurement, required two GMP proposals for acceptance, and required strong active project management from the owner.</w:t>
      </w:r>
    </w:p>
    <w:p w:rsidR="00E55592" w:rsidRPr="00FA48CA" w:rsidRDefault="00E55592" w:rsidP="00E55592">
      <w:pPr>
        <w:pStyle w:val="ListParagraph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7F4" w:rsidRPr="00FA48CA" w:rsidRDefault="002867F4" w:rsidP="00E55592">
      <w:pPr>
        <w:pStyle w:val="ListParagraph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4A" w:rsidRPr="00FA48CA" w:rsidRDefault="0094774A" w:rsidP="00947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Level of Oversight and Control</w:t>
      </w:r>
    </w:p>
    <w:p w:rsidR="00E55592" w:rsidRPr="00FA48CA" w:rsidRDefault="00E55592" w:rsidP="00E55592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CDOT had requirements in the EJMT that oversight and control be maintained at all times due to safety and operations.</w:t>
      </w:r>
    </w:p>
    <w:p w:rsidR="00E55592" w:rsidRPr="00FA48CA" w:rsidRDefault="00E55592" w:rsidP="00E55592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CDOT had to make quick educated design decisions to keep the design moving on schedule. </w:t>
      </w:r>
    </w:p>
    <w:p w:rsidR="00E55592" w:rsidRPr="00FA48CA" w:rsidRDefault="00E55592" w:rsidP="00E55592">
      <w:pPr>
        <w:pStyle w:val="ListParagraph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4A" w:rsidRPr="00FA48CA" w:rsidRDefault="0094774A" w:rsidP="00947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Competition and Contractor Experience</w:t>
      </w:r>
    </w:p>
    <w:p w:rsidR="00E55592" w:rsidRPr="00FA48CA" w:rsidRDefault="00E55592" w:rsidP="00E55592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only a few design firms and electrical contractors that can do 2400V work because it is a specialized field. </w:t>
      </w:r>
    </w:p>
    <w:p w:rsidR="00E55592" w:rsidRPr="00FA48CA" w:rsidRDefault="00E55592" w:rsidP="00E55592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There were only four vendors t</w:t>
      </w:r>
      <w:r w:rsidR="002867F4"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could supply the switchgears. </w:t>
      </w:r>
    </w:p>
    <w:p w:rsidR="002867F4" w:rsidRPr="00FA48CA" w:rsidRDefault="002867F4" w:rsidP="00E55592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8CA">
        <w:rPr>
          <w:rFonts w:ascii="Times New Roman" w:hAnsi="Times New Roman" w:cs="Times New Roman"/>
          <w:color w:val="000000" w:themeColor="text1"/>
          <w:sz w:val="24"/>
          <w:szCs w:val="24"/>
        </w:rPr>
        <w:t>CM/GC experience is limited but both proposers had vertical CMAR experience.</w:t>
      </w:r>
    </w:p>
    <w:p w:rsidR="002867F4" w:rsidRDefault="002867F4" w:rsidP="002867F4">
      <w:pPr>
        <w:pStyle w:val="ListParagraph"/>
        <w:ind w:left="18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5C2A" w:rsidRPr="00E55592" w:rsidRDefault="00E45C2A" w:rsidP="002867F4">
      <w:pPr>
        <w:pStyle w:val="ListParagraph"/>
        <w:ind w:left="18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08E9" w:rsidRDefault="00A8239A" w:rsidP="00AC1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D2D08" w:rsidRPr="00DD2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800" w:rsidRPr="00DD2D08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A8239A" w:rsidRPr="00DD2D08" w:rsidRDefault="00A8239A" w:rsidP="00AC19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E4E" w:rsidRPr="00DD2D08" w:rsidRDefault="009808E9" w:rsidP="00AC19FE">
      <w:pPr>
        <w:jc w:val="both"/>
        <w:rPr>
          <w:rFonts w:ascii="Times New Roman" w:hAnsi="Times New Roman" w:cs="Times New Roman"/>
          <w:sz w:val="24"/>
          <w:szCs w:val="24"/>
        </w:rPr>
      </w:pPr>
      <w:r w:rsidRPr="00DD2D08">
        <w:rPr>
          <w:rFonts w:ascii="Times New Roman" w:hAnsi="Times New Roman" w:cs="Times New Roman"/>
          <w:sz w:val="24"/>
          <w:szCs w:val="24"/>
        </w:rPr>
        <w:t>This docum</w:t>
      </w:r>
      <w:r w:rsidR="00B6476B" w:rsidRPr="00DD2D08">
        <w:rPr>
          <w:rFonts w:ascii="Times New Roman" w:hAnsi="Times New Roman" w:cs="Times New Roman"/>
          <w:sz w:val="24"/>
          <w:szCs w:val="24"/>
        </w:rPr>
        <w:t>ent details the process that CDOT and</w:t>
      </w:r>
      <w:r w:rsidRPr="00DD2D08">
        <w:rPr>
          <w:rFonts w:ascii="Times New Roman" w:hAnsi="Times New Roman" w:cs="Times New Roman"/>
          <w:sz w:val="24"/>
          <w:szCs w:val="24"/>
        </w:rPr>
        <w:t xml:space="preserve"> FHWA </w:t>
      </w:r>
      <w:r w:rsidR="00727656">
        <w:rPr>
          <w:rFonts w:ascii="Times New Roman" w:hAnsi="Times New Roman" w:cs="Times New Roman"/>
          <w:sz w:val="24"/>
          <w:szCs w:val="24"/>
        </w:rPr>
        <w:t>have</w:t>
      </w:r>
      <w:r w:rsidRPr="00DD2D08">
        <w:rPr>
          <w:rFonts w:ascii="Times New Roman" w:hAnsi="Times New Roman" w:cs="Times New Roman"/>
          <w:sz w:val="24"/>
          <w:szCs w:val="24"/>
        </w:rPr>
        <w:t xml:space="preserve"> use</w:t>
      </w:r>
      <w:r w:rsidR="00727656">
        <w:rPr>
          <w:rFonts w:ascii="Times New Roman" w:hAnsi="Times New Roman" w:cs="Times New Roman"/>
          <w:sz w:val="24"/>
          <w:szCs w:val="24"/>
        </w:rPr>
        <w:t>d</w:t>
      </w:r>
      <w:r w:rsidRPr="00DD2D08">
        <w:rPr>
          <w:rFonts w:ascii="Times New Roman" w:hAnsi="Times New Roman" w:cs="Times New Roman"/>
          <w:sz w:val="24"/>
          <w:szCs w:val="24"/>
        </w:rPr>
        <w:t xml:space="preserve"> for implementing the CM/GC project delivery method under SEP-14. It is expected that </w:t>
      </w:r>
      <w:r w:rsidR="00727656">
        <w:rPr>
          <w:rFonts w:ascii="Times New Roman" w:hAnsi="Times New Roman" w:cs="Times New Roman"/>
          <w:sz w:val="24"/>
          <w:szCs w:val="24"/>
        </w:rPr>
        <w:t>this</w:t>
      </w:r>
      <w:r w:rsidRPr="00DD2D08">
        <w:rPr>
          <w:rFonts w:ascii="Times New Roman" w:hAnsi="Times New Roman" w:cs="Times New Roman"/>
          <w:sz w:val="24"/>
          <w:szCs w:val="24"/>
        </w:rPr>
        <w:t xml:space="preserve"> evaluation will enhance our understanding of the CM/GC strengths, weaknesses</w:t>
      </w:r>
      <w:r w:rsidR="00FE7933" w:rsidRPr="00DD2D08">
        <w:rPr>
          <w:rFonts w:ascii="Times New Roman" w:hAnsi="Times New Roman" w:cs="Times New Roman"/>
          <w:sz w:val="24"/>
          <w:szCs w:val="24"/>
        </w:rPr>
        <w:t>,</w:t>
      </w:r>
      <w:r w:rsidRPr="00DD2D08">
        <w:rPr>
          <w:rFonts w:ascii="Times New Roman" w:hAnsi="Times New Roman" w:cs="Times New Roman"/>
          <w:sz w:val="24"/>
          <w:szCs w:val="24"/>
        </w:rPr>
        <w:t xml:space="preserve"> and suitability of this </w:t>
      </w:r>
      <w:r w:rsidR="00727656">
        <w:rPr>
          <w:rFonts w:ascii="Times New Roman" w:hAnsi="Times New Roman" w:cs="Times New Roman"/>
          <w:sz w:val="24"/>
          <w:szCs w:val="24"/>
        </w:rPr>
        <w:t xml:space="preserve">project </w:t>
      </w:r>
      <w:r w:rsidRPr="00DD2D08">
        <w:rPr>
          <w:rFonts w:ascii="Times New Roman" w:hAnsi="Times New Roman" w:cs="Times New Roman"/>
          <w:sz w:val="24"/>
          <w:szCs w:val="24"/>
        </w:rPr>
        <w:t xml:space="preserve">delivery method. </w:t>
      </w:r>
      <w:r w:rsidR="00727656">
        <w:rPr>
          <w:rFonts w:ascii="Times New Roman" w:hAnsi="Times New Roman" w:cs="Times New Roman"/>
          <w:sz w:val="24"/>
          <w:szCs w:val="24"/>
        </w:rPr>
        <w:t xml:space="preserve">In 2011, only one project was completed using </w:t>
      </w:r>
      <w:proofErr w:type="gramStart"/>
      <w:r w:rsidR="00727656">
        <w:rPr>
          <w:rFonts w:ascii="Times New Roman" w:hAnsi="Times New Roman" w:cs="Times New Roman"/>
          <w:sz w:val="24"/>
          <w:szCs w:val="24"/>
        </w:rPr>
        <w:t>CM/GC,</w:t>
      </w:r>
      <w:proofErr w:type="gramEnd"/>
      <w:r w:rsidR="00727656">
        <w:rPr>
          <w:rFonts w:ascii="Times New Roman" w:hAnsi="Times New Roman" w:cs="Times New Roman"/>
          <w:sz w:val="24"/>
          <w:szCs w:val="24"/>
        </w:rPr>
        <w:t xml:space="preserve"> and the procurement of three other projects has just started.  CDOT is well on its way to procure eight projects between 2011 and 2014 as described in the CDOT/FHWA SEP-14 Programmatic Agreement. </w:t>
      </w:r>
    </w:p>
    <w:sectPr w:rsidR="00FE4E4E" w:rsidRPr="00DD2D08" w:rsidSect="00297E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2E" w:rsidRDefault="00471D2E" w:rsidP="004702F5">
      <w:r>
        <w:separator/>
      </w:r>
    </w:p>
  </w:endnote>
  <w:endnote w:type="continuationSeparator" w:id="0">
    <w:p w:rsidR="00471D2E" w:rsidRDefault="00471D2E" w:rsidP="0047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99" w:rsidRPr="00CB09F3" w:rsidRDefault="0075027D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2011 CM/GC CDOT Report</w:t>
    </w:r>
    <w:r w:rsidR="00CB09F3" w:rsidRPr="00CB09F3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 w:rsidR="00CB09F3" w:rsidRPr="00CB09F3">
      <w:rPr>
        <w:rFonts w:ascii="Times New Roman" w:eastAsiaTheme="majorEastAsia" w:hAnsi="Times New Roman" w:cs="Times New Roman"/>
        <w:sz w:val="24"/>
        <w:szCs w:val="24"/>
      </w:rPr>
      <w:t xml:space="preserve">Page </w:t>
    </w:r>
    <w:r w:rsidR="009149B4" w:rsidRPr="00CB09F3">
      <w:rPr>
        <w:rFonts w:ascii="Times New Roman" w:eastAsiaTheme="minorEastAsia" w:hAnsi="Times New Roman" w:cs="Times New Roman"/>
        <w:sz w:val="24"/>
        <w:szCs w:val="24"/>
      </w:rPr>
      <w:fldChar w:fldCharType="begin"/>
    </w:r>
    <w:r w:rsidR="00CB09F3" w:rsidRPr="00CB09F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9149B4" w:rsidRPr="00CB09F3">
      <w:rPr>
        <w:rFonts w:ascii="Times New Roman" w:eastAsiaTheme="minorEastAsia" w:hAnsi="Times New Roman" w:cs="Times New Roman"/>
        <w:sz w:val="24"/>
        <w:szCs w:val="24"/>
      </w:rPr>
      <w:fldChar w:fldCharType="separate"/>
    </w:r>
    <w:r w:rsidR="0009010E" w:rsidRPr="0009010E">
      <w:rPr>
        <w:rFonts w:ascii="Times New Roman" w:eastAsiaTheme="majorEastAsia" w:hAnsi="Times New Roman" w:cs="Times New Roman"/>
        <w:noProof/>
        <w:sz w:val="24"/>
        <w:szCs w:val="24"/>
      </w:rPr>
      <w:t>1</w:t>
    </w:r>
    <w:r w:rsidR="009149B4" w:rsidRPr="00CB09F3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2E" w:rsidRDefault="00471D2E" w:rsidP="004702F5">
      <w:r>
        <w:separator/>
      </w:r>
    </w:p>
  </w:footnote>
  <w:footnote w:type="continuationSeparator" w:id="0">
    <w:p w:rsidR="00471D2E" w:rsidRDefault="00471D2E" w:rsidP="0047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F5" w:rsidRPr="006A5399" w:rsidRDefault="004702F5">
    <w:pPr>
      <w:pStyle w:val="Header"/>
      <w:rPr>
        <w:rFonts w:ascii="Times New Roman" w:hAnsi="Times New Roman" w:cs="Times New Roman"/>
        <w:sz w:val="24"/>
        <w:szCs w:val="24"/>
      </w:rPr>
    </w:pPr>
    <w:r w:rsidRPr="006A5399">
      <w:rPr>
        <w:rFonts w:ascii="Times New Roman" w:hAnsi="Times New Roman" w:cs="Times New Roman"/>
        <w:sz w:val="24"/>
        <w:szCs w:val="24"/>
      </w:rPr>
      <w:t xml:space="preserve">FHWA – Colorado </w:t>
    </w:r>
    <w:r w:rsidR="00AC3212" w:rsidRPr="006A5399">
      <w:rPr>
        <w:rFonts w:ascii="Times New Roman" w:hAnsi="Times New Roman" w:cs="Times New Roman"/>
        <w:sz w:val="24"/>
        <w:szCs w:val="24"/>
      </w:rPr>
      <w:t xml:space="preserve">Division </w:t>
    </w:r>
    <w:r w:rsidR="00E45C2A">
      <w:rPr>
        <w:rFonts w:ascii="Times New Roman" w:hAnsi="Times New Roman" w:cs="Times New Roman"/>
        <w:sz w:val="24"/>
        <w:szCs w:val="24"/>
      </w:rPr>
      <w:tab/>
    </w:r>
    <w:r w:rsidR="00E45C2A">
      <w:rPr>
        <w:rFonts w:ascii="Times New Roman" w:hAnsi="Times New Roman" w:cs="Times New Roman"/>
        <w:sz w:val="24"/>
        <w:szCs w:val="24"/>
      </w:rPr>
      <w:tab/>
      <w:t>1/25</w:t>
    </w:r>
    <w:r w:rsidR="0075027D">
      <w:rPr>
        <w:rFonts w:ascii="Times New Roman" w:hAnsi="Times New Roman" w:cs="Times New Roman"/>
        <w:sz w:val="24"/>
        <w:szCs w:val="24"/>
      </w:rPr>
      <w:t>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61"/>
    <w:multiLevelType w:val="hybridMultilevel"/>
    <w:tmpl w:val="D5E4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5ABB"/>
    <w:multiLevelType w:val="hybridMultilevel"/>
    <w:tmpl w:val="EAE8794A"/>
    <w:lvl w:ilvl="0" w:tplc="744C2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7249C"/>
    <w:multiLevelType w:val="hybridMultilevel"/>
    <w:tmpl w:val="C11258FA"/>
    <w:lvl w:ilvl="0" w:tplc="48623BF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94B37"/>
    <w:multiLevelType w:val="hybridMultilevel"/>
    <w:tmpl w:val="9AF4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11D1"/>
    <w:multiLevelType w:val="hybridMultilevel"/>
    <w:tmpl w:val="01A8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3E7D"/>
    <w:multiLevelType w:val="hybridMultilevel"/>
    <w:tmpl w:val="7E62143E"/>
    <w:lvl w:ilvl="0" w:tplc="6E3EE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1466E"/>
    <w:multiLevelType w:val="hybridMultilevel"/>
    <w:tmpl w:val="7E62143E"/>
    <w:lvl w:ilvl="0" w:tplc="6E3EE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F61B4"/>
    <w:multiLevelType w:val="hybridMultilevel"/>
    <w:tmpl w:val="0312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E2CA3"/>
    <w:multiLevelType w:val="hybridMultilevel"/>
    <w:tmpl w:val="BE2AE3A2"/>
    <w:lvl w:ilvl="0" w:tplc="2C840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72808"/>
    <w:multiLevelType w:val="hybridMultilevel"/>
    <w:tmpl w:val="530E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5166F"/>
    <w:multiLevelType w:val="hybridMultilevel"/>
    <w:tmpl w:val="C61C9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386946"/>
    <w:multiLevelType w:val="hybridMultilevel"/>
    <w:tmpl w:val="9FBC7632"/>
    <w:lvl w:ilvl="0" w:tplc="5E50876C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469B0"/>
    <w:multiLevelType w:val="hybridMultilevel"/>
    <w:tmpl w:val="B5C6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F5"/>
    <w:rsid w:val="000272F4"/>
    <w:rsid w:val="000418B1"/>
    <w:rsid w:val="00061838"/>
    <w:rsid w:val="00084DC4"/>
    <w:rsid w:val="0009010E"/>
    <w:rsid w:val="00092088"/>
    <w:rsid w:val="000A55D9"/>
    <w:rsid w:val="001165F8"/>
    <w:rsid w:val="00145BF4"/>
    <w:rsid w:val="0017096C"/>
    <w:rsid w:val="001A101D"/>
    <w:rsid w:val="001B46B7"/>
    <w:rsid w:val="001C5EB3"/>
    <w:rsid w:val="001D0386"/>
    <w:rsid w:val="00244EE5"/>
    <w:rsid w:val="00280967"/>
    <w:rsid w:val="00284372"/>
    <w:rsid w:val="002867F4"/>
    <w:rsid w:val="00297EB6"/>
    <w:rsid w:val="002A2861"/>
    <w:rsid w:val="002B372E"/>
    <w:rsid w:val="002C3589"/>
    <w:rsid w:val="002C6D23"/>
    <w:rsid w:val="002F2234"/>
    <w:rsid w:val="002F6DBD"/>
    <w:rsid w:val="00324E0F"/>
    <w:rsid w:val="00357397"/>
    <w:rsid w:val="003573E8"/>
    <w:rsid w:val="00362420"/>
    <w:rsid w:val="00383F61"/>
    <w:rsid w:val="003964C4"/>
    <w:rsid w:val="003B1B62"/>
    <w:rsid w:val="003C6198"/>
    <w:rsid w:val="003E2652"/>
    <w:rsid w:val="00463C6B"/>
    <w:rsid w:val="0046661C"/>
    <w:rsid w:val="004702F5"/>
    <w:rsid w:val="00471D2E"/>
    <w:rsid w:val="00480095"/>
    <w:rsid w:val="00487FD3"/>
    <w:rsid w:val="004B46E3"/>
    <w:rsid w:val="004D7698"/>
    <w:rsid w:val="004E0713"/>
    <w:rsid w:val="004F1B69"/>
    <w:rsid w:val="004F4A3B"/>
    <w:rsid w:val="00510837"/>
    <w:rsid w:val="00527A97"/>
    <w:rsid w:val="005459E8"/>
    <w:rsid w:val="00551205"/>
    <w:rsid w:val="0056211A"/>
    <w:rsid w:val="00574C73"/>
    <w:rsid w:val="00590A14"/>
    <w:rsid w:val="00592103"/>
    <w:rsid w:val="005965B9"/>
    <w:rsid w:val="005A4303"/>
    <w:rsid w:val="005B2580"/>
    <w:rsid w:val="005D6A7D"/>
    <w:rsid w:val="005E73D5"/>
    <w:rsid w:val="005E7497"/>
    <w:rsid w:val="0060229D"/>
    <w:rsid w:val="00617280"/>
    <w:rsid w:val="00626533"/>
    <w:rsid w:val="00637FA4"/>
    <w:rsid w:val="006A5399"/>
    <w:rsid w:val="006E5F54"/>
    <w:rsid w:val="006E7379"/>
    <w:rsid w:val="006F645B"/>
    <w:rsid w:val="00703098"/>
    <w:rsid w:val="00705A7B"/>
    <w:rsid w:val="00727656"/>
    <w:rsid w:val="0075027D"/>
    <w:rsid w:val="007718EC"/>
    <w:rsid w:val="00773017"/>
    <w:rsid w:val="007752C7"/>
    <w:rsid w:val="007A7581"/>
    <w:rsid w:val="007D5CE0"/>
    <w:rsid w:val="007E05DB"/>
    <w:rsid w:val="007E0A90"/>
    <w:rsid w:val="007E37DE"/>
    <w:rsid w:val="007F3336"/>
    <w:rsid w:val="007F5CAA"/>
    <w:rsid w:val="007F5F00"/>
    <w:rsid w:val="0088152C"/>
    <w:rsid w:val="00891BB0"/>
    <w:rsid w:val="008A7FC5"/>
    <w:rsid w:val="008D0797"/>
    <w:rsid w:val="008E7E68"/>
    <w:rsid w:val="009104FC"/>
    <w:rsid w:val="009149B4"/>
    <w:rsid w:val="00932B80"/>
    <w:rsid w:val="0094774A"/>
    <w:rsid w:val="00951389"/>
    <w:rsid w:val="00963FD5"/>
    <w:rsid w:val="009705BB"/>
    <w:rsid w:val="00976B58"/>
    <w:rsid w:val="009808E9"/>
    <w:rsid w:val="00981A9C"/>
    <w:rsid w:val="009B124F"/>
    <w:rsid w:val="009C56F2"/>
    <w:rsid w:val="009D0D1C"/>
    <w:rsid w:val="00A02C72"/>
    <w:rsid w:val="00A33F82"/>
    <w:rsid w:val="00A35175"/>
    <w:rsid w:val="00A45D93"/>
    <w:rsid w:val="00A50065"/>
    <w:rsid w:val="00A50633"/>
    <w:rsid w:val="00A8239A"/>
    <w:rsid w:val="00AB2C4B"/>
    <w:rsid w:val="00AC19FE"/>
    <w:rsid w:val="00AC3212"/>
    <w:rsid w:val="00AD3DA6"/>
    <w:rsid w:val="00AD674B"/>
    <w:rsid w:val="00AE62B2"/>
    <w:rsid w:val="00AE728C"/>
    <w:rsid w:val="00B4442F"/>
    <w:rsid w:val="00B6476B"/>
    <w:rsid w:val="00B65AC0"/>
    <w:rsid w:val="00B7272C"/>
    <w:rsid w:val="00B81003"/>
    <w:rsid w:val="00B9158C"/>
    <w:rsid w:val="00BB2BA7"/>
    <w:rsid w:val="00BD32B7"/>
    <w:rsid w:val="00C14C00"/>
    <w:rsid w:val="00C15239"/>
    <w:rsid w:val="00C51814"/>
    <w:rsid w:val="00C72687"/>
    <w:rsid w:val="00CA5081"/>
    <w:rsid w:val="00CB09F3"/>
    <w:rsid w:val="00CB1868"/>
    <w:rsid w:val="00CB2A85"/>
    <w:rsid w:val="00CD14D8"/>
    <w:rsid w:val="00CD6108"/>
    <w:rsid w:val="00D41E79"/>
    <w:rsid w:val="00DB6800"/>
    <w:rsid w:val="00DD2D08"/>
    <w:rsid w:val="00E2091F"/>
    <w:rsid w:val="00E25FD5"/>
    <w:rsid w:val="00E34FBE"/>
    <w:rsid w:val="00E45C2A"/>
    <w:rsid w:val="00E55592"/>
    <w:rsid w:val="00E822E4"/>
    <w:rsid w:val="00E84A55"/>
    <w:rsid w:val="00EB2A57"/>
    <w:rsid w:val="00EE7D4D"/>
    <w:rsid w:val="00F00D91"/>
    <w:rsid w:val="00F06F9C"/>
    <w:rsid w:val="00F272F1"/>
    <w:rsid w:val="00F75E58"/>
    <w:rsid w:val="00FA48CA"/>
    <w:rsid w:val="00FB7923"/>
    <w:rsid w:val="00FC6CD4"/>
    <w:rsid w:val="00FE4E4E"/>
    <w:rsid w:val="00FE793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2F5"/>
  </w:style>
  <w:style w:type="paragraph" w:styleId="Footer">
    <w:name w:val="footer"/>
    <w:basedOn w:val="Normal"/>
    <w:link w:val="FooterChar"/>
    <w:uiPriority w:val="99"/>
    <w:unhideWhenUsed/>
    <w:rsid w:val="0047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2F5"/>
  </w:style>
  <w:style w:type="paragraph" w:styleId="BalloonText">
    <w:name w:val="Balloon Text"/>
    <w:basedOn w:val="Normal"/>
    <w:link w:val="BalloonTextChar"/>
    <w:uiPriority w:val="99"/>
    <w:semiHidden/>
    <w:unhideWhenUsed/>
    <w:rsid w:val="0047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E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2F5"/>
  </w:style>
  <w:style w:type="paragraph" w:styleId="Footer">
    <w:name w:val="footer"/>
    <w:basedOn w:val="Normal"/>
    <w:link w:val="FooterChar"/>
    <w:uiPriority w:val="99"/>
    <w:unhideWhenUsed/>
    <w:rsid w:val="0047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2F5"/>
  </w:style>
  <w:style w:type="paragraph" w:styleId="BalloonText">
    <w:name w:val="Balloon Text"/>
    <w:basedOn w:val="Normal"/>
    <w:link w:val="BalloonTextChar"/>
    <w:uiPriority w:val="99"/>
    <w:semiHidden/>
    <w:unhideWhenUsed/>
    <w:rsid w:val="0047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3A3E-C06A-48F8-95FD-7C63C4C8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Susan</dc:creator>
  <cp:lastModifiedBy>Louis Avgeris</cp:lastModifiedBy>
  <cp:revision>2</cp:revision>
  <cp:lastPrinted>2011-05-17T14:01:00Z</cp:lastPrinted>
  <dcterms:created xsi:type="dcterms:W3CDTF">2013-09-26T17:52:00Z</dcterms:created>
  <dcterms:modified xsi:type="dcterms:W3CDTF">2013-09-26T17:52:00Z</dcterms:modified>
</cp:coreProperties>
</file>