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72" w:rsidRPr="00C06F72" w:rsidRDefault="00C06F72" w:rsidP="00C06F72">
      <w:pPr>
        <w:jc w:val="center"/>
        <w:rPr>
          <w:rFonts w:ascii="Arial" w:hAnsi="Arial" w:cs="Arial"/>
          <w:b/>
          <w:bCs/>
          <w:sz w:val="22"/>
          <w:szCs w:val="22"/>
        </w:rPr>
      </w:pPr>
      <w:r>
        <w:rPr>
          <w:rFonts w:ascii="Arial" w:hAnsi="Arial" w:cs="Arial"/>
          <w:b/>
          <w:bCs/>
          <w:sz w:val="22"/>
          <w:szCs w:val="22"/>
        </w:rPr>
        <w:t>Form 1212 and SAP Workflow</w:t>
      </w:r>
    </w:p>
    <w:p w:rsidR="00C06F72" w:rsidRDefault="00C06F72" w:rsidP="00C06F72">
      <w:pPr>
        <w:rPr>
          <w:rFonts w:ascii="Arial" w:hAnsi="Arial" w:cs="Arial"/>
          <w:bCs/>
          <w:sz w:val="22"/>
          <w:szCs w:val="22"/>
        </w:rPr>
      </w:pPr>
    </w:p>
    <w:p w:rsidR="00FE501F" w:rsidRDefault="00FE501F" w:rsidP="00C06F72">
      <w:pPr>
        <w:rPr>
          <w:rFonts w:ascii="Arial" w:hAnsi="Arial" w:cs="Arial"/>
          <w:bCs/>
          <w:sz w:val="22"/>
          <w:szCs w:val="22"/>
        </w:rPr>
      </w:pPr>
      <w:r>
        <w:rPr>
          <w:rFonts w:ascii="Arial" w:hAnsi="Arial" w:cs="Arial"/>
          <w:bCs/>
          <w:sz w:val="22"/>
          <w:szCs w:val="22"/>
        </w:rPr>
        <w:t xml:space="preserve">This construction bulletin addresses project acceptance and completion of the Form 1212 with the SAP system on all projects that have been constructed. </w:t>
      </w:r>
    </w:p>
    <w:p w:rsidR="00CC62C4" w:rsidRDefault="00CC62C4" w:rsidP="00C06F72">
      <w:pPr>
        <w:rPr>
          <w:rFonts w:ascii="Arial" w:hAnsi="Arial" w:cs="Arial"/>
          <w:bCs/>
          <w:sz w:val="22"/>
          <w:szCs w:val="22"/>
        </w:rPr>
      </w:pPr>
    </w:p>
    <w:p w:rsidR="00CC62C4" w:rsidRPr="00C06F72" w:rsidRDefault="00CC62C4" w:rsidP="00C06F72">
      <w:pPr>
        <w:rPr>
          <w:rFonts w:ascii="Arial" w:hAnsi="Arial" w:cs="Arial"/>
          <w:b/>
          <w:bCs/>
          <w:sz w:val="22"/>
          <w:szCs w:val="22"/>
          <w:u w:val="single"/>
        </w:rPr>
      </w:pPr>
      <w:r w:rsidRPr="00C06F72">
        <w:rPr>
          <w:rFonts w:ascii="Arial" w:hAnsi="Arial" w:cs="Arial"/>
          <w:b/>
          <w:bCs/>
          <w:sz w:val="22"/>
          <w:szCs w:val="22"/>
          <w:u w:val="single"/>
        </w:rPr>
        <w:t>History:</w:t>
      </w:r>
    </w:p>
    <w:p w:rsidR="00C06F72" w:rsidRDefault="00C06F72" w:rsidP="00C06F72">
      <w:pPr>
        <w:rPr>
          <w:rFonts w:ascii="Arial" w:hAnsi="Arial" w:cs="Arial"/>
          <w:bCs/>
          <w:sz w:val="22"/>
          <w:szCs w:val="22"/>
        </w:rPr>
      </w:pPr>
    </w:p>
    <w:p w:rsidR="00CC62C4" w:rsidRDefault="00CC62C4" w:rsidP="00C06F72">
      <w:pPr>
        <w:rPr>
          <w:rFonts w:ascii="Arial" w:hAnsi="Arial" w:cs="Arial"/>
          <w:bCs/>
          <w:sz w:val="22"/>
          <w:szCs w:val="22"/>
        </w:rPr>
      </w:pPr>
      <w:r>
        <w:rPr>
          <w:rFonts w:ascii="Arial" w:hAnsi="Arial" w:cs="Arial"/>
          <w:bCs/>
          <w:sz w:val="22"/>
          <w:szCs w:val="22"/>
        </w:rPr>
        <w:t xml:space="preserve">When SAP was rolled out, the Form 1212 </w:t>
      </w:r>
      <w:r w:rsidR="00704392">
        <w:rPr>
          <w:rFonts w:ascii="Arial" w:hAnsi="Arial" w:cs="Arial"/>
          <w:bCs/>
          <w:sz w:val="22"/>
          <w:szCs w:val="22"/>
        </w:rPr>
        <w:t xml:space="preserve">workflow </w:t>
      </w:r>
      <w:r>
        <w:rPr>
          <w:rFonts w:ascii="Arial" w:hAnsi="Arial" w:cs="Arial"/>
          <w:bCs/>
          <w:sz w:val="22"/>
          <w:szCs w:val="22"/>
        </w:rPr>
        <w:t xml:space="preserve">was </w:t>
      </w:r>
      <w:r w:rsidR="00704392">
        <w:rPr>
          <w:rFonts w:ascii="Arial" w:hAnsi="Arial" w:cs="Arial"/>
          <w:bCs/>
          <w:sz w:val="22"/>
          <w:szCs w:val="22"/>
        </w:rPr>
        <w:t xml:space="preserve">initiated </w:t>
      </w:r>
      <w:r>
        <w:rPr>
          <w:rFonts w:ascii="Arial" w:hAnsi="Arial" w:cs="Arial"/>
          <w:bCs/>
          <w:sz w:val="22"/>
          <w:szCs w:val="22"/>
        </w:rPr>
        <w:t>when the project was set to TECO</w:t>
      </w:r>
      <w:r w:rsidR="006973E2">
        <w:rPr>
          <w:rFonts w:ascii="Arial" w:hAnsi="Arial" w:cs="Arial"/>
          <w:bCs/>
          <w:sz w:val="22"/>
          <w:szCs w:val="22"/>
        </w:rPr>
        <w:t xml:space="preserve"> (Technically Complete</w:t>
      </w:r>
      <w:r w:rsidR="00CC4562">
        <w:rPr>
          <w:rFonts w:ascii="Arial" w:hAnsi="Arial" w:cs="Arial"/>
          <w:bCs/>
          <w:sz w:val="22"/>
          <w:szCs w:val="22"/>
        </w:rPr>
        <w:t xml:space="preserve">). The project </w:t>
      </w:r>
      <w:r w:rsidR="006973E2">
        <w:rPr>
          <w:rFonts w:ascii="Arial" w:hAnsi="Arial" w:cs="Arial"/>
          <w:bCs/>
          <w:sz w:val="22"/>
          <w:szCs w:val="22"/>
        </w:rPr>
        <w:t xml:space="preserve">was meant to be </w:t>
      </w:r>
      <w:r w:rsidR="00CC4562">
        <w:rPr>
          <w:rFonts w:ascii="Arial" w:hAnsi="Arial" w:cs="Arial"/>
          <w:bCs/>
          <w:sz w:val="22"/>
          <w:szCs w:val="22"/>
        </w:rPr>
        <w:t xml:space="preserve">set to TECO </w:t>
      </w:r>
      <w:r w:rsidR="006973E2">
        <w:rPr>
          <w:rFonts w:ascii="Arial" w:hAnsi="Arial" w:cs="Arial"/>
          <w:bCs/>
          <w:sz w:val="22"/>
          <w:szCs w:val="22"/>
        </w:rPr>
        <w:t>when construction was completed</w:t>
      </w:r>
      <w:r>
        <w:rPr>
          <w:rFonts w:ascii="Arial" w:hAnsi="Arial" w:cs="Arial"/>
          <w:bCs/>
          <w:sz w:val="22"/>
          <w:szCs w:val="22"/>
        </w:rPr>
        <w:t xml:space="preserve">. </w:t>
      </w:r>
      <w:r w:rsidR="001B2AE7">
        <w:rPr>
          <w:rFonts w:ascii="Arial" w:hAnsi="Arial" w:cs="Arial"/>
          <w:bCs/>
          <w:sz w:val="22"/>
          <w:szCs w:val="22"/>
        </w:rPr>
        <w:t>The</w:t>
      </w:r>
      <w:r w:rsidR="006973E2">
        <w:rPr>
          <w:rFonts w:ascii="Arial" w:hAnsi="Arial" w:cs="Arial"/>
          <w:bCs/>
          <w:sz w:val="22"/>
          <w:szCs w:val="22"/>
        </w:rPr>
        <w:t xml:space="preserve"> Form 1212 could not be created unle</w:t>
      </w:r>
      <w:r>
        <w:rPr>
          <w:rFonts w:ascii="Arial" w:hAnsi="Arial" w:cs="Arial"/>
          <w:bCs/>
          <w:sz w:val="22"/>
          <w:szCs w:val="22"/>
        </w:rPr>
        <w:t xml:space="preserve">ss the project was </w:t>
      </w:r>
      <w:r w:rsidR="00CC4562">
        <w:rPr>
          <w:rFonts w:ascii="Arial" w:hAnsi="Arial" w:cs="Arial"/>
          <w:bCs/>
          <w:sz w:val="22"/>
          <w:szCs w:val="22"/>
        </w:rPr>
        <w:t xml:space="preserve">set to </w:t>
      </w:r>
      <w:r>
        <w:rPr>
          <w:rFonts w:ascii="Arial" w:hAnsi="Arial" w:cs="Arial"/>
          <w:bCs/>
          <w:sz w:val="22"/>
          <w:szCs w:val="22"/>
        </w:rPr>
        <w:t xml:space="preserve">TECO. </w:t>
      </w:r>
      <w:r w:rsidR="00704392">
        <w:rPr>
          <w:rFonts w:ascii="Arial" w:hAnsi="Arial" w:cs="Arial"/>
          <w:bCs/>
          <w:sz w:val="22"/>
          <w:szCs w:val="22"/>
        </w:rPr>
        <w:t>Additionally, t</w:t>
      </w:r>
      <w:r>
        <w:rPr>
          <w:rFonts w:ascii="Arial" w:hAnsi="Arial" w:cs="Arial"/>
          <w:bCs/>
          <w:sz w:val="22"/>
          <w:szCs w:val="22"/>
        </w:rPr>
        <w:t xml:space="preserve">he </w:t>
      </w:r>
      <w:r w:rsidR="00CC4562">
        <w:rPr>
          <w:rFonts w:ascii="Arial" w:hAnsi="Arial" w:cs="Arial"/>
          <w:bCs/>
          <w:sz w:val="22"/>
          <w:szCs w:val="22"/>
        </w:rPr>
        <w:t xml:space="preserve">Form </w:t>
      </w:r>
      <w:r>
        <w:rPr>
          <w:rFonts w:ascii="Arial" w:hAnsi="Arial" w:cs="Arial"/>
          <w:bCs/>
          <w:sz w:val="22"/>
          <w:szCs w:val="22"/>
        </w:rPr>
        <w:t xml:space="preserve">1212 workflow was started for all projects set to TECO even if a Form 1212 was not required. </w:t>
      </w:r>
      <w:r w:rsidR="00103BCB">
        <w:rPr>
          <w:rFonts w:ascii="Arial" w:hAnsi="Arial" w:cs="Arial"/>
          <w:bCs/>
          <w:sz w:val="22"/>
          <w:szCs w:val="22"/>
        </w:rPr>
        <w:t xml:space="preserve">Some projects had to be </w:t>
      </w:r>
      <w:r w:rsidR="00CC4562">
        <w:rPr>
          <w:rFonts w:ascii="Arial" w:hAnsi="Arial" w:cs="Arial"/>
          <w:bCs/>
          <w:sz w:val="22"/>
          <w:szCs w:val="22"/>
        </w:rPr>
        <w:t xml:space="preserve">set to </w:t>
      </w:r>
      <w:r w:rsidR="00103BCB">
        <w:rPr>
          <w:rFonts w:ascii="Arial" w:hAnsi="Arial" w:cs="Arial"/>
          <w:bCs/>
          <w:sz w:val="22"/>
          <w:szCs w:val="22"/>
        </w:rPr>
        <w:t xml:space="preserve">TECO more than once, </w:t>
      </w:r>
      <w:r w:rsidR="00704392">
        <w:rPr>
          <w:rFonts w:ascii="Arial" w:hAnsi="Arial" w:cs="Arial"/>
          <w:bCs/>
          <w:sz w:val="22"/>
          <w:szCs w:val="22"/>
        </w:rPr>
        <w:t xml:space="preserve">creating </w:t>
      </w:r>
      <w:r w:rsidR="00103BCB">
        <w:rPr>
          <w:rFonts w:ascii="Arial" w:hAnsi="Arial" w:cs="Arial"/>
          <w:bCs/>
          <w:sz w:val="22"/>
          <w:szCs w:val="22"/>
        </w:rPr>
        <w:t xml:space="preserve">more than one </w:t>
      </w:r>
      <w:r w:rsidR="00704392">
        <w:rPr>
          <w:rFonts w:ascii="Arial" w:hAnsi="Arial" w:cs="Arial"/>
          <w:bCs/>
          <w:sz w:val="22"/>
          <w:szCs w:val="22"/>
        </w:rPr>
        <w:t>F</w:t>
      </w:r>
      <w:r w:rsidR="00103BCB">
        <w:rPr>
          <w:rFonts w:ascii="Arial" w:hAnsi="Arial" w:cs="Arial"/>
          <w:bCs/>
          <w:sz w:val="22"/>
          <w:szCs w:val="22"/>
        </w:rPr>
        <w:t xml:space="preserve">orm 1212 for a project and </w:t>
      </w:r>
      <w:r w:rsidR="00CC4562">
        <w:rPr>
          <w:rFonts w:ascii="Arial" w:hAnsi="Arial" w:cs="Arial"/>
          <w:bCs/>
          <w:sz w:val="22"/>
          <w:szCs w:val="22"/>
        </w:rPr>
        <w:t xml:space="preserve">creating </w:t>
      </w:r>
      <w:r w:rsidR="00103BCB">
        <w:rPr>
          <w:rFonts w:ascii="Arial" w:hAnsi="Arial" w:cs="Arial"/>
          <w:bCs/>
          <w:sz w:val="22"/>
          <w:szCs w:val="22"/>
        </w:rPr>
        <w:t xml:space="preserve">duplicate workflows. </w:t>
      </w:r>
    </w:p>
    <w:p w:rsidR="00103BCB" w:rsidRDefault="00103BCB" w:rsidP="00C06F72">
      <w:pPr>
        <w:rPr>
          <w:rFonts w:ascii="Arial" w:hAnsi="Arial" w:cs="Arial"/>
          <w:bCs/>
          <w:sz w:val="22"/>
          <w:szCs w:val="22"/>
        </w:rPr>
      </w:pPr>
    </w:p>
    <w:p w:rsidR="00103BCB" w:rsidRPr="00C06F72" w:rsidRDefault="00103BCB" w:rsidP="00C06F72">
      <w:pPr>
        <w:rPr>
          <w:rFonts w:ascii="Arial" w:hAnsi="Arial" w:cs="Arial"/>
          <w:b/>
          <w:bCs/>
          <w:sz w:val="22"/>
          <w:szCs w:val="22"/>
          <w:u w:val="single"/>
        </w:rPr>
      </w:pPr>
      <w:r w:rsidRPr="00C06F72">
        <w:rPr>
          <w:rFonts w:ascii="Arial" w:hAnsi="Arial" w:cs="Arial"/>
          <w:b/>
          <w:bCs/>
          <w:sz w:val="22"/>
          <w:szCs w:val="22"/>
          <w:u w:val="single"/>
        </w:rPr>
        <w:t xml:space="preserve">New Process: </w:t>
      </w:r>
    </w:p>
    <w:p w:rsidR="00103BCB" w:rsidRDefault="00103BCB" w:rsidP="00C06F72">
      <w:pPr>
        <w:rPr>
          <w:rFonts w:ascii="Arial" w:hAnsi="Arial" w:cs="Arial"/>
          <w:bCs/>
          <w:sz w:val="22"/>
          <w:szCs w:val="22"/>
        </w:rPr>
      </w:pPr>
    </w:p>
    <w:p w:rsidR="00103BCB" w:rsidRDefault="00103BCB" w:rsidP="00C06F72">
      <w:pPr>
        <w:rPr>
          <w:rFonts w:ascii="Arial" w:hAnsi="Arial" w:cs="Arial"/>
          <w:bCs/>
          <w:sz w:val="22"/>
          <w:szCs w:val="22"/>
        </w:rPr>
      </w:pPr>
      <w:r>
        <w:rPr>
          <w:rFonts w:ascii="Arial" w:hAnsi="Arial" w:cs="Arial"/>
          <w:bCs/>
          <w:sz w:val="22"/>
          <w:szCs w:val="22"/>
        </w:rPr>
        <w:t xml:space="preserve">Below is the guidance for </w:t>
      </w:r>
      <w:r w:rsidR="00CC4562">
        <w:rPr>
          <w:rFonts w:ascii="Arial" w:hAnsi="Arial" w:cs="Arial"/>
          <w:bCs/>
          <w:sz w:val="22"/>
          <w:szCs w:val="22"/>
        </w:rPr>
        <w:t xml:space="preserve">the new process </w:t>
      </w:r>
      <w:r>
        <w:rPr>
          <w:rFonts w:ascii="Arial" w:hAnsi="Arial" w:cs="Arial"/>
          <w:bCs/>
          <w:sz w:val="22"/>
          <w:szCs w:val="22"/>
        </w:rPr>
        <w:t xml:space="preserve">to create a Form 1212 </w:t>
      </w:r>
      <w:r w:rsidR="003C36C9">
        <w:rPr>
          <w:rFonts w:ascii="Arial" w:hAnsi="Arial" w:cs="Arial"/>
          <w:bCs/>
          <w:sz w:val="22"/>
          <w:szCs w:val="22"/>
        </w:rPr>
        <w:t xml:space="preserve">in SAP </w:t>
      </w:r>
      <w:r>
        <w:rPr>
          <w:rFonts w:ascii="Arial" w:hAnsi="Arial" w:cs="Arial"/>
          <w:bCs/>
          <w:sz w:val="22"/>
          <w:szCs w:val="22"/>
        </w:rPr>
        <w:t xml:space="preserve">for projects that </w:t>
      </w:r>
      <w:r w:rsidR="003C36C9">
        <w:rPr>
          <w:rFonts w:ascii="Arial" w:hAnsi="Arial" w:cs="Arial"/>
          <w:bCs/>
          <w:sz w:val="22"/>
          <w:szCs w:val="22"/>
        </w:rPr>
        <w:t>have construction completed</w:t>
      </w:r>
      <w:r>
        <w:rPr>
          <w:rFonts w:ascii="Arial" w:hAnsi="Arial" w:cs="Arial"/>
          <w:bCs/>
          <w:sz w:val="22"/>
          <w:szCs w:val="22"/>
        </w:rPr>
        <w:t xml:space="preserve">. It addresses what needs to be done to close projects where a Form 1212 is not needed. The Form 1212 is commonly required on </w:t>
      </w:r>
      <w:r w:rsidR="00384E55">
        <w:rPr>
          <w:rFonts w:ascii="Arial" w:hAnsi="Arial" w:cs="Arial"/>
          <w:bCs/>
          <w:sz w:val="22"/>
          <w:szCs w:val="22"/>
        </w:rPr>
        <w:t xml:space="preserve">each </w:t>
      </w:r>
      <w:r>
        <w:rPr>
          <w:rFonts w:ascii="Arial" w:hAnsi="Arial" w:cs="Arial"/>
          <w:bCs/>
          <w:sz w:val="22"/>
          <w:szCs w:val="22"/>
        </w:rPr>
        <w:t xml:space="preserve">construction project even if </w:t>
      </w:r>
      <w:r w:rsidR="00704392">
        <w:rPr>
          <w:rFonts w:ascii="Arial" w:hAnsi="Arial" w:cs="Arial"/>
          <w:bCs/>
          <w:sz w:val="22"/>
          <w:szCs w:val="22"/>
        </w:rPr>
        <w:t xml:space="preserve">it </w:t>
      </w:r>
      <w:r w:rsidR="00CC4562">
        <w:rPr>
          <w:rFonts w:ascii="Arial" w:hAnsi="Arial" w:cs="Arial"/>
          <w:bCs/>
          <w:sz w:val="22"/>
          <w:szCs w:val="22"/>
        </w:rPr>
        <w:t xml:space="preserve">is funded with </w:t>
      </w:r>
      <w:r>
        <w:rPr>
          <w:rFonts w:ascii="Arial" w:hAnsi="Arial" w:cs="Arial"/>
          <w:bCs/>
          <w:sz w:val="22"/>
          <w:szCs w:val="22"/>
        </w:rPr>
        <w:t>all state fund</w:t>
      </w:r>
      <w:r w:rsidR="001174E2">
        <w:rPr>
          <w:rFonts w:ascii="Arial" w:hAnsi="Arial" w:cs="Arial"/>
          <w:bCs/>
          <w:sz w:val="22"/>
          <w:szCs w:val="22"/>
        </w:rPr>
        <w:t>s. Consult</w:t>
      </w:r>
      <w:r w:rsidR="003C36C9">
        <w:rPr>
          <w:rFonts w:ascii="Arial" w:hAnsi="Arial" w:cs="Arial"/>
          <w:bCs/>
          <w:sz w:val="22"/>
          <w:szCs w:val="22"/>
        </w:rPr>
        <w:t xml:space="preserve"> the Region Finals Engineer</w:t>
      </w:r>
      <w:r w:rsidR="001174E2">
        <w:rPr>
          <w:rFonts w:ascii="Arial" w:hAnsi="Arial" w:cs="Arial"/>
          <w:bCs/>
          <w:sz w:val="22"/>
          <w:szCs w:val="22"/>
        </w:rPr>
        <w:t xml:space="preserve"> for the</w:t>
      </w:r>
      <w:r w:rsidR="00384E55">
        <w:rPr>
          <w:rFonts w:ascii="Arial" w:hAnsi="Arial" w:cs="Arial"/>
          <w:bCs/>
          <w:sz w:val="22"/>
          <w:szCs w:val="22"/>
        </w:rPr>
        <w:t xml:space="preserve"> region's</w:t>
      </w:r>
      <w:r w:rsidR="001174E2">
        <w:rPr>
          <w:rFonts w:ascii="Arial" w:hAnsi="Arial" w:cs="Arial"/>
          <w:bCs/>
          <w:sz w:val="22"/>
          <w:szCs w:val="22"/>
        </w:rPr>
        <w:t xml:space="preserve"> requirement for all state funded projects</w:t>
      </w:r>
      <w:r>
        <w:rPr>
          <w:rFonts w:ascii="Arial" w:hAnsi="Arial" w:cs="Arial"/>
          <w:bCs/>
          <w:sz w:val="22"/>
          <w:szCs w:val="22"/>
        </w:rPr>
        <w:t xml:space="preserve">. </w:t>
      </w:r>
    </w:p>
    <w:p w:rsidR="00FE501F" w:rsidRDefault="00F12CBA" w:rsidP="00FE501F">
      <w:pPr>
        <w:ind w:left="360"/>
        <w:rPr>
          <w:rFonts w:ascii="Arial" w:hAnsi="Arial" w:cs="Arial"/>
          <w:bCs/>
          <w:sz w:val="22"/>
          <w:szCs w:val="22"/>
        </w:rPr>
      </w:pPr>
      <w:r>
        <w:rPr>
          <w:rFonts w:ascii="Arial" w:hAnsi="Arial" w:cs="Arial"/>
          <w:bCs/>
          <w:sz w:val="22"/>
          <w:szCs w:val="22"/>
        </w:rPr>
        <w:t xml:space="preserve"> </w:t>
      </w:r>
    </w:p>
    <w:p w:rsidR="00A824A5" w:rsidRDefault="00A824A5" w:rsidP="00A824A5">
      <w:pPr>
        <w:ind w:left="1440"/>
        <w:rPr>
          <w:rFonts w:ascii="Arial" w:hAnsi="Arial" w:cs="Arial"/>
          <w:bCs/>
          <w:sz w:val="22"/>
          <w:szCs w:val="22"/>
        </w:rPr>
      </w:pPr>
    </w:p>
    <w:p w:rsidR="00FE501F" w:rsidRDefault="00FE501F" w:rsidP="00CC4562">
      <w:pPr>
        <w:numPr>
          <w:ilvl w:val="0"/>
          <w:numId w:val="3"/>
        </w:numPr>
        <w:tabs>
          <w:tab w:val="left" w:pos="360"/>
        </w:tabs>
        <w:ind w:left="360"/>
        <w:rPr>
          <w:rFonts w:ascii="Arial" w:hAnsi="Arial" w:cs="Arial"/>
          <w:bCs/>
          <w:sz w:val="22"/>
          <w:szCs w:val="22"/>
        </w:rPr>
      </w:pPr>
      <w:r w:rsidRPr="006137F8">
        <w:rPr>
          <w:rFonts w:ascii="Arial" w:hAnsi="Arial" w:cs="Arial"/>
          <w:bCs/>
          <w:sz w:val="22"/>
          <w:szCs w:val="22"/>
        </w:rPr>
        <w:t>Once a project is accepted</w:t>
      </w:r>
      <w:r w:rsidR="008F4729" w:rsidRPr="006137F8">
        <w:rPr>
          <w:rFonts w:ascii="Arial" w:hAnsi="Arial" w:cs="Arial"/>
          <w:bCs/>
          <w:sz w:val="22"/>
          <w:szCs w:val="22"/>
        </w:rPr>
        <w:t xml:space="preserve"> in construction </w:t>
      </w:r>
      <w:r w:rsidR="008A3849" w:rsidRPr="006137F8">
        <w:rPr>
          <w:rFonts w:ascii="Arial" w:hAnsi="Arial" w:cs="Arial"/>
          <w:bCs/>
          <w:sz w:val="22"/>
          <w:szCs w:val="22"/>
        </w:rPr>
        <w:t>as complete</w:t>
      </w:r>
      <w:r w:rsidR="006137F8" w:rsidRPr="006137F8">
        <w:rPr>
          <w:rFonts w:ascii="Arial" w:hAnsi="Arial" w:cs="Arial"/>
          <w:bCs/>
          <w:sz w:val="22"/>
          <w:szCs w:val="22"/>
        </w:rPr>
        <w:t>,</w:t>
      </w:r>
      <w:r w:rsidR="008A3849" w:rsidRPr="006137F8">
        <w:rPr>
          <w:rFonts w:ascii="Arial" w:hAnsi="Arial" w:cs="Arial"/>
          <w:bCs/>
          <w:sz w:val="22"/>
          <w:szCs w:val="22"/>
        </w:rPr>
        <w:t xml:space="preserve"> </w:t>
      </w:r>
      <w:r w:rsidR="008F4729" w:rsidRPr="006137F8">
        <w:rPr>
          <w:rFonts w:ascii="Arial" w:hAnsi="Arial" w:cs="Arial"/>
          <w:bCs/>
          <w:sz w:val="22"/>
          <w:szCs w:val="22"/>
        </w:rPr>
        <w:t>either by CDOT or the Local Agency</w:t>
      </w:r>
      <w:r w:rsidRPr="006137F8">
        <w:rPr>
          <w:rFonts w:ascii="Arial" w:hAnsi="Arial" w:cs="Arial"/>
          <w:bCs/>
          <w:sz w:val="22"/>
          <w:szCs w:val="22"/>
        </w:rPr>
        <w:t xml:space="preserve">, the Form 1212 workflow </w:t>
      </w:r>
      <w:r w:rsidR="008F4729" w:rsidRPr="006137F8">
        <w:rPr>
          <w:rFonts w:ascii="Arial" w:hAnsi="Arial" w:cs="Arial"/>
          <w:bCs/>
          <w:sz w:val="22"/>
          <w:szCs w:val="22"/>
        </w:rPr>
        <w:t>should be</w:t>
      </w:r>
      <w:r w:rsidRPr="006137F8">
        <w:rPr>
          <w:rFonts w:ascii="Arial" w:hAnsi="Arial" w:cs="Arial"/>
          <w:bCs/>
          <w:sz w:val="22"/>
          <w:szCs w:val="22"/>
        </w:rPr>
        <w:t xml:space="preserve"> started</w:t>
      </w:r>
      <w:r w:rsidR="001A4F37" w:rsidRPr="006137F8">
        <w:rPr>
          <w:rFonts w:ascii="Arial" w:hAnsi="Arial" w:cs="Arial"/>
          <w:bCs/>
          <w:sz w:val="22"/>
          <w:szCs w:val="22"/>
        </w:rPr>
        <w:t xml:space="preserve"> in SAP</w:t>
      </w:r>
      <w:r w:rsidRPr="006137F8">
        <w:rPr>
          <w:rFonts w:ascii="Arial" w:hAnsi="Arial" w:cs="Arial"/>
          <w:bCs/>
          <w:sz w:val="22"/>
          <w:szCs w:val="22"/>
        </w:rPr>
        <w:t xml:space="preserve">. Starting the </w:t>
      </w:r>
      <w:r w:rsidR="008A3849" w:rsidRPr="006137F8">
        <w:rPr>
          <w:rFonts w:ascii="Arial" w:hAnsi="Arial" w:cs="Arial"/>
          <w:bCs/>
          <w:sz w:val="22"/>
          <w:szCs w:val="22"/>
        </w:rPr>
        <w:t xml:space="preserve">Form 1212 </w:t>
      </w:r>
      <w:r w:rsidRPr="006137F8">
        <w:rPr>
          <w:rFonts w:ascii="Arial" w:hAnsi="Arial" w:cs="Arial"/>
          <w:bCs/>
          <w:sz w:val="22"/>
          <w:szCs w:val="22"/>
        </w:rPr>
        <w:t xml:space="preserve">workflow can be done in one of two ways, depending on the type of project. </w:t>
      </w:r>
    </w:p>
    <w:p w:rsidR="006137F8" w:rsidRPr="006137F8" w:rsidRDefault="006137F8" w:rsidP="006137F8">
      <w:pPr>
        <w:tabs>
          <w:tab w:val="left" w:pos="360"/>
        </w:tabs>
        <w:rPr>
          <w:rFonts w:ascii="Arial" w:hAnsi="Arial" w:cs="Arial"/>
          <w:bCs/>
          <w:sz w:val="22"/>
          <w:szCs w:val="22"/>
        </w:rPr>
      </w:pPr>
    </w:p>
    <w:p w:rsidR="00FE501F" w:rsidRDefault="00FE501F" w:rsidP="006137F8">
      <w:pPr>
        <w:numPr>
          <w:ilvl w:val="1"/>
          <w:numId w:val="3"/>
        </w:numPr>
        <w:tabs>
          <w:tab w:val="left" w:pos="720"/>
        </w:tabs>
        <w:ind w:left="720"/>
        <w:rPr>
          <w:rFonts w:ascii="Arial" w:hAnsi="Arial" w:cs="Arial"/>
          <w:bCs/>
          <w:sz w:val="22"/>
          <w:szCs w:val="22"/>
        </w:rPr>
      </w:pPr>
      <w:r>
        <w:rPr>
          <w:rFonts w:ascii="Arial" w:hAnsi="Arial" w:cs="Arial"/>
          <w:bCs/>
          <w:sz w:val="22"/>
          <w:szCs w:val="22"/>
        </w:rPr>
        <w:t>For CDOT administered projects</w:t>
      </w:r>
      <w:r w:rsidR="008F4729">
        <w:rPr>
          <w:rFonts w:ascii="Arial" w:hAnsi="Arial" w:cs="Arial"/>
          <w:bCs/>
          <w:sz w:val="22"/>
          <w:szCs w:val="22"/>
        </w:rPr>
        <w:t xml:space="preserve">, the </w:t>
      </w:r>
      <w:r>
        <w:rPr>
          <w:rFonts w:ascii="Arial" w:hAnsi="Arial" w:cs="Arial"/>
          <w:bCs/>
          <w:sz w:val="22"/>
          <w:szCs w:val="22"/>
        </w:rPr>
        <w:t xml:space="preserve">Form 1212 workflow is </w:t>
      </w:r>
      <w:r w:rsidR="00A824A5">
        <w:rPr>
          <w:rFonts w:ascii="Arial" w:hAnsi="Arial" w:cs="Arial"/>
          <w:bCs/>
          <w:sz w:val="22"/>
          <w:szCs w:val="22"/>
        </w:rPr>
        <w:t>triggered</w:t>
      </w:r>
      <w:r>
        <w:rPr>
          <w:rFonts w:ascii="Arial" w:hAnsi="Arial" w:cs="Arial"/>
          <w:bCs/>
          <w:sz w:val="22"/>
          <w:szCs w:val="22"/>
        </w:rPr>
        <w:t xml:space="preserve"> automatically when the Project Acceptance </w:t>
      </w:r>
      <w:r w:rsidR="001B2AE7">
        <w:rPr>
          <w:rFonts w:ascii="Arial" w:hAnsi="Arial" w:cs="Arial"/>
          <w:bCs/>
          <w:sz w:val="22"/>
          <w:szCs w:val="22"/>
        </w:rPr>
        <w:t>D</w:t>
      </w:r>
      <w:r>
        <w:rPr>
          <w:rFonts w:ascii="Arial" w:hAnsi="Arial" w:cs="Arial"/>
          <w:bCs/>
          <w:sz w:val="22"/>
          <w:szCs w:val="22"/>
        </w:rPr>
        <w:t xml:space="preserve">ate is populated within Site Manager </w:t>
      </w:r>
      <w:r w:rsidR="008F4729">
        <w:rPr>
          <w:rFonts w:ascii="Arial" w:hAnsi="Arial" w:cs="Arial"/>
          <w:bCs/>
          <w:sz w:val="22"/>
          <w:szCs w:val="22"/>
        </w:rPr>
        <w:t>(</w:t>
      </w:r>
      <w:r w:rsidR="001174E2">
        <w:rPr>
          <w:rFonts w:ascii="Arial" w:hAnsi="Arial" w:cs="Arial"/>
          <w:bCs/>
          <w:sz w:val="22"/>
          <w:szCs w:val="22"/>
        </w:rPr>
        <w:t>it will be filled in during the night but not immediately after input</w:t>
      </w:r>
      <w:r w:rsidR="008F4729">
        <w:rPr>
          <w:rFonts w:ascii="Arial" w:hAnsi="Arial" w:cs="Arial"/>
          <w:bCs/>
          <w:sz w:val="22"/>
          <w:szCs w:val="22"/>
        </w:rPr>
        <w:t>)</w:t>
      </w:r>
      <w:r>
        <w:rPr>
          <w:rFonts w:ascii="Arial" w:hAnsi="Arial" w:cs="Arial"/>
          <w:bCs/>
          <w:sz w:val="22"/>
          <w:szCs w:val="22"/>
        </w:rPr>
        <w:t xml:space="preserve">.  This date is automatically brought over to the SAP system </w:t>
      </w:r>
      <w:r w:rsidR="00A824A5">
        <w:rPr>
          <w:rFonts w:ascii="Arial" w:hAnsi="Arial" w:cs="Arial"/>
          <w:bCs/>
          <w:sz w:val="22"/>
          <w:szCs w:val="22"/>
        </w:rPr>
        <w:t xml:space="preserve">and populates the same field in the Project Manager Custom Tab in transaction CJ20N. Please refer to </w:t>
      </w:r>
      <w:r w:rsidR="006137F8">
        <w:rPr>
          <w:rFonts w:ascii="Arial" w:hAnsi="Arial" w:cs="Arial"/>
          <w:bCs/>
          <w:sz w:val="22"/>
          <w:szCs w:val="22"/>
        </w:rPr>
        <w:t xml:space="preserve">the </w:t>
      </w:r>
      <w:r w:rsidR="001174E2">
        <w:rPr>
          <w:rFonts w:ascii="Arial" w:hAnsi="Arial" w:cs="Arial"/>
          <w:bCs/>
          <w:sz w:val="22"/>
          <w:szCs w:val="22"/>
        </w:rPr>
        <w:t xml:space="preserve">portion of the SAP Project Manager tab </w:t>
      </w:r>
      <w:r w:rsidR="00A824A5">
        <w:rPr>
          <w:rFonts w:ascii="Arial" w:hAnsi="Arial" w:cs="Arial"/>
          <w:bCs/>
          <w:sz w:val="22"/>
          <w:szCs w:val="22"/>
        </w:rPr>
        <w:t>screen shot below:</w:t>
      </w:r>
    </w:p>
    <w:p w:rsidR="00DB4C2E" w:rsidRDefault="00DB4C2E" w:rsidP="006137F8">
      <w:pPr>
        <w:numPr>
          <w:ilvl w:val="1"/>
          <w:numId w:val="3"/>
        </w:numPr>
        <w:tabs>
          <w:tab w:val="left" w:pos="720"/>
        </w:tabs>
        <w:ind w:left="720"/>
        <w:rPr>
          <w:rFonts w:ascii="Arial" w:hAnsi="Arial" w:cs="Arial"/>
          <w:bCs/>
          <w:sz w:val="22"/>
          <w:szCs w:val="22"/>
        </w:rPr>
      </w:pPr>
    </w:p>
    <w:p w:rsidR="00A824A5" w:rsidRDefault="00A824A5" w:rsidP="00A824A5">
      <w:pPr>
        <w:ind w:left="1440"/>
        <w:rPr>
          <w:rFonts w:ascii="Arial" w:hAnsi="Arial" w:cs="Arial"/>
          <w:bCs/>
          <w:sz w:val="22"/>
          <w:szCs w:val="22"/>
        </w:rPr>
      </w:pPr>
    </w:p>
    <w:p w:rsidR="00A824A5" w:rsidRDefault="00A824A5" w:rsidP="00A824A5">
      <w:pPr>
        <w:ind w:left="144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F7F7E">
        <w:rPr>
          <w:rFonts w:ascii="Arial" w:hAnsi="Arial" w:cs="Arial"/>
          <w:noProof/>
          <w:sz w:val="22"/>
          <w:szCs w:val="22"/>
        </w:rPr>
        <w:drawing>
          <wp:inline distT="0" distB="0" distL="0" distR="0">
            <wp:extent cx="2610485" cy="2425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0485" cy="242570"/>
                    </a:xfrm>
                    <a:prstGeom prst="rect">
                      <a:avLst/>
                    </a:prstGeom>
                    <a:noFill/>
                    <a:ln w="9525">
                      <a:noFill/>
                      <a:miter lim="800000"/>
                      <a:headEnd/>
                      <a:tailEnd/>
                    </a:ln>
                  </pic:spPr>
                </pic:pic>
              </a:graphicData>
            </a:graphic>
          </wp:inline>
        </w:drawing>
      </w:r>
    </w:p>
    <w:p w:rsidR="001A4F37" w:rsidRPr="00A824A5" w:rsidRDefault="00A824A5" w:rsidP="003059DD">
      <w:pPr>
        <w:ind w:left="3600" w:right="2340"/>
        <w:rPr>
          <w:rFonts w:ascii="Arial" w:hAnsi="Arial" w:cs="Arial"/>
          <w:bCs/>
          <w:sz w:val="16"/>
          <w:szCs w:val="16"/>
        </w:rPr>
      </w:pPr>
      <w:r w:rsidRPr="00A824A5">
        <w:rPr>
          <w:rFonts w:ascii="Arial" w:hAnsi="Arial" w:cs="Arial"/>
          <w:bCs/>
          <w:sz w:val="16"/>
          <w:szCs w:val="16"/>
        </w:rPr>
        <w:t>This date will be automatically populated through Site</w:t>
      </w:r>
      <w:r w:rsidR="003059DD">
        <w:rPr>
          <w:rFonts w:ascii="Arial" w:hAnsi="Arial" w:cs="Arial"/>
          <w:bCs/>
          <w:sz w:val="16"/>
          <w:szCs w:val="16"/>
        </w:rPr>
        <w:t xml:space="preserve"> </w:t>
      </w:r>
      <w:r w:rsidRPr="00A824A5">
        <w:rPr>
          <w:rFonts w:ascii="Arial" w:hAnsi="Arial" w:cs="Arial"/>
          <w:bCs/>
          <w:sz w:val="16"/>
          <w:szCs w:val="16"/>
        </w:rPr>
        <w:t xml:space="preserve">Manager. It can only be populated through this method for CDOT Administered construction projects. </w:t>
      </w:r>
      <w:r w:rsidR="003059DD">
        <w:rPr>
          <w:rFonts w:ascii="Arial" w:hAnsi="Arial" w:cs="Arial"/>
          <w:bCs/>
          <w:sz w:val="16"/>
          <w:szCs w:val="16"/>
        </w:rPr>
        <w:t xml:space="preserve">Note the box is </w:t>
      </w:r>
      <w:r w:rsidR="006137F8">
        <w:rPr>
          <w:rFonts w:ascii="Arial" w:hAnsi="Arial" w:cs="Arial"/>
          <w:bCs/>
          <w:sz w:val="16"/>
          <w:szCs w:val="16"/>
        </w:rPr>
        <w:t>grayed</w:t>
      </w:r>
      <w:r w:rsidR="003059DD">
        <w:rPr>
          <w:rFonts w:ascii="Arial" w:hAnsi="Arial" w:cs="Arial"/>
          <w:bCs/>
          <w:sz w:val="16"/>
          <w:szCs w:val="16"/>
        </w:rPr>
        <w:t xml:space="preserve"> out or blue in color which means that it cannot be completed by the user. </w:t>
      </w:r>
    </w:p>
    <w:p w:rsidR="00A824A5" w:rsidRDefault="00A824A5" w:rsidP="00A824A5">
      <w:pPr>
        <w:ind w:left="1440"/>
        <w:rPr>
          <w:rFonts w:ascii="Arial" w:hAnsi="Arial" w:cs="Arial"/>
          <w:bCs/>
          <w:sz w:val="22"/>
          <w:szCs w:val="22"/>
        </w:rPr>
      </w:pPr>
    </w:p>
    <w:p w:rsidR="00A824A5" w:rsidRDefault="00A824A5" w:rsidP="006137F8">
      <w:pPr>
        <w:numPr>
          <w:ilvl w:val="1"/>
          <w:numId w:val="3"/>
        </w:numPr>
        <w:tabs>
          <w:tab w:val="left" w:pos="720"/>
        </w:tabs>
        <w:ind w:left="720"/>
        <w:rPr>
          <w:rFonts w:ascii="Arial" w:hAnsi="Arial" w:cs="Arial"/>
          <w:bCs/>
          <w:sz w:val="22"/>
          <w:szCs w:val="22"/>
        </w:rPr>
      </w:pPr>
      <w:r>
        <w:rPr>
          <w:rFonts w:ascii="Arial" w:hAnsi="Arial" w:cs="Arial"/>
          <w:bCs/>
          <w:sz w:val="22"/>
          <w:szCs w:val="22"/>
        </w:rPr>
        <w:t xml:space="preserve">For Local Agency Projects and Non-Engineering Capital Projects:  The Form 1212 workflow is triggered when the assigned Project Manager populates the Project Acceptance Date within the Project Manager Custom Tab in transaction CJ20N. </w:t>
      </w:r>
      <w:r w:rsidR="00AE7019">
        <w:rPr>
          <w:rFonts w:ascii="Arial" w:hAnsi="Arial" w:cs="Arial"/>
          <w:bCs/>
          <w:sz w:val="22"/>
          <w:szCs w:val="22"/>
        </w:rPr>
        <w:t xml:space="preserve">These project types do not manage Construction activities through Site Manager and the acceptance date must be entered manually. Please refer to the </w:t>
      </w:r>
      <w:r w:rsidR="001174E2">
        <w:rPr>
          <w:rFonts w:ascii="Arial" w:hAnsi="Arial" w:cs="Arial"/>
          <w:bCs/>
          <w:sz w:val="22"/>
          <w:szCs w:val="22"/>
        </w:rPr>
        <w:t xml:space="preserve">portion of the </w:t>
      </w:r>
      <w:r w:rsidR="000E3B72">
        <w:rPr>
          <w:rFonts w:ascii="Arial" w:hAnsi="Arial" w:cs="Arial"/>
          <w:bCs/>
          <w:sz w:val="22"/>
          <w:szCs w:val="22"/>
        </w:rPr>
        <w:t xml:space="preserve">SAP </w:t>
      </w:r>
      <w:r w:rsidR="001174E2">
        <w:rPr>
          <w:rFonts w:ascii="Arial" w:hAnsi="Arial" w:cs="Arial"/>
          <w:bCs/>
          <w:sz w:val="22"/>
          <w:szCs w:val="22"/>
        </w:rPr>
        <w:t xml:space="preserve">Project Manager tab </w:t>
      </w:r>
      <w:r w:rsidR="00AE7019">
        <w:rPr>
          <w:rFonts w:ascii="Arial" w:hAnsi="Arial" w:cs="Arial"/>
          <w:bCs/>
          <w:sz w:val="22"/>
          <w:szCs w:val="22"/>
        </w:rPr>
        <w:t>screen shot below:</w:t>
      </w:r>
    </w:p>
    <w:p w:rsidR="00AE7019" w:rsidRDefault="00AE7019" w:rsidP="00AE7019">
      <w:pPr>
        <w:ind w:left="1440"/>
        <w:rPr>
          <w:rFonts w:ascii="Arial" w:hAnsi="Arial" w:cs="Arial"/>
          <w:bCs/>
          <w:sz w:val="22"/>
          <w:szCs w:val="22"/>
        </w:rPr>
      </w:pPr>
    </w:p>
    <w:p w:rsidR="00AE7019" w:rsidRDefault="00AE7019" w:rsidP="00AE7019">
      <w:pPr>
        <w:ind w:left="144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F7F7E">
        <w:rPr>
          <w:rFonts w:ascii="Arial" w:hAnsi="Arial" w:cs="Arial"/>
          <w:noProof/>
          <w:sz w:val="22"/>
          <w:szCs w:val="22"/>
        </w:rPr>
        <w:drawing>
          <wp:inline distT="0" distB="0" distL="0" distR="0">
            <wp:extent cx="2500630" cy="21082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00630" cy="210820"/>
                    </a:xfrm>
                    <a:prstGeom prst="rect">
                      <a:avLst/>
                    </a:prstGeom>
                    <a:noFill/>
                    <a:ln w="9525">
                      <a:noFill/>
                      <a:miter lim="800000"/>
                      <a:headEnd/>
                      <a:tailEnd/>
                    </a:ln>
                  </pic:spPr>
                </pic:pic>
              </a:graphicData>
            </a:graphic>
          </wp:inline>
        </w:drawing>
      </w:r>
    </w:p>
    <w:p w:rsidR="00FA0B13" w:rsidRDefault="00FA0B13" w:rsidP="003059DD">
      <w:pPr>
        <w:ind w:left="3600" w:right="2700"/>
        <w:rPr>
          <w:rFonts w:ascii="Arial" w:hAnsi="Arial" w:cs="Arial"/>
          <w:bCs/>
          <w:sz w:val="16"/>
          <w:szCs w:val="16"/>
        </w:rPr>
      </w:pPr>
      <w:r>
        <w:rPr>
          <w:rFonts w:ascii="Arial" w:hAnsi="Arial" w:cs="Arial"/>
          <w:bCs/>
          <w:sz w:val="16"/>
          <w:szCs w:val="16"/>
        </w:rPr>
        <w:t xml:space="preserve">For local agency and non-engineering capital projects, Project Managers must manually populate the date in Order to start the Form 1212 workflow. </w:t>
      </w:r>
      <w:r w:rsidR="001A4F37">
        <w:rPr>
          <w:rFonts w:ascii="Arial" w:hAnsi="Arial" w:cs="Arial"/>
          <w:bCs/>
          <w:sz w:val="16"/>
          <w:szCs w:val="16"/>
        </w:rPr>
        <w:t>Note the fieldis white meaning it can be changed by the user.</w:t>
      </w:r>
    </w:p>
    <w:p w:rsidR="00FA0B13" w:rsidRPr="00FA0B13" w:rsidRDefault="00FA0B13" w:rsidP="001A4F37">
      <w:pPr>
        <w:ind w:left="3600"/>
        <w:rPr>
          <w:rFonts w:ascii="Arial" w:hAnsi="Arial" w:cs="Arial"/>
          <w:bCs/>
          <w:sz w:val="16"/>
          <w:szCs w:val="16"/>
        </w:rPr>
      </w:pPr>
    </w:p>
    <w:p w:rsidR="00AE7019" w:rsidRPr="006137F8" w:rsidRDefault="00FA0B13" w:rsidP="006137F8">
      <w:pPr>
        <w:numPr>
          <w:ilvl w:val="0"/>
          <w:numId w:val="3"/>
        </w:numPr>
        <w:ind w:left="360"/>
        <w:rPr>
          <w:rFonts w:ascii="Arial" w:hAnsi="Arial" w:cs="Arial"/>
          <w:bCs/>
          <w:sz w:val="22"/>
          <w:szCs w:val="22"/>
        </w:rPr>
      </w:pPr>
      <w:r w:rsidRPr="006137F8">
        <w:rPr>
          <w:rFonts w:ascii="Arial" w:hAnsi="Arial" w:cs="Arial"/>
          <w:bCs/>
          <w:sz w:val="22"/>
          <w:szCs w:val="22"/>
        </w:rPr>
        <w:t>Once the Form 1212 Workflow has been started</w:t>
      </w:r>
      <w:r w:rsidR="006137F8">
        <w:rPr>
          <w:rFonts w:ascii="Arial" w:hAnsi="Arial" w:cs="Arial"/>
          <w:bCs/>
          <w:sz w:val="22"/>
          <w:szCs w:val="22"/>
        </w:rPr>
        <w:t>,,</w:t>
      </w:r>
      <w:r w:rsidR="006137F8" w:rsidRPr="006137F8">
        <w:rPr>
          <w:rFonts w:ascii="Arial" w:hAnsi="Arial" w:cs="Arial"/>
          <w:bCs/>
          <w:sz w:val="22"/>
          <w:szCs w:val="22"/>
        </w:rPr>
        <w:t xml:space="preserve"> </w:t>
      </w:r>
      <w:r w:rsidR="006137F8">
        <w:rPr>
          <w:rFonts w:ascii="Arial" w:hAnsi="Arial" w:cs="Arial"/>
          <w:bCs/>
          <w:sz w:val="22"/>
          <w:szCs w:val="22"/>
        </w:rPr>
        <w:t>a</w:t>
      </w:r>
      <w:r w:rsidRPr="006137F8">
        <w:rPr>
          <w:rFonts w:ascii="Arial" w:hAnsi="Arial" w:cs="Arial"/>
          <w:bCs/>
          <w:sz w:val="22"/>
          <w:szCs w:val="22"/>
        </w:rPr>
        <w:t xml:space="preserve"> </w:t>
      </w:r>
      <w:r w:rsidR="008A3849" w:rsidRPr="006137F8">
        <w:rPr>
          <w:rFonts w:ascii="Arial" w:hAnsi="Arial" w:cs="Arial"/>
          <w:bCs/>
          <w:sz w:val="22"/>
          <w:szCs w:val="22"/>
        </w:rPr>
        <w:t xml:space="preserve">form 1212 </w:t>
      </w:r>
      <w:r w:rsidRPr="006137F8">
        <w:rPr>
          <w:rFonts w:ascii="Arial" w:hAnsi="Arial" w:cs="Arial"/>
          <w:bCs/>
          <w:sz w:val="22"/>
          <w:szCs w:val="22"/>
        </w:rPr>
        <w:t xml:space="preserve">workflow item and outlook email message will be sent to all Resident Engineers within the Project’s region.  The Resident Engineer managing the project should open this workflow through transaction SBWP to </w:t>
      </w:r>
      <w:r w:rsidR="008A3849" w:rsidRPr="006137F8">
        <w:rPr>
          <w:rFonts w:ascii="Arial" w:hAnsi="Arial" w:cs="Arial"/>
          <w:bCs/>
          <w:sz w:val="22"/>
          <w:szCs w:val="22"/>
        </w:rPr>
        <w:t xml:space="preserve">save the workflow or to </w:t>
      </w:r>
      <w:r w:rsidRPr="006137F8">
        <w:rPr>
          <w:rFonts w:ascii="Arial" w:hAnsi="Arial" w:cs="Arial"/>
          <w:bCs/>
          <w:sz w:val="22"/>
          <w:szCs w:val="22"/>
        </w:rPr>
        <w:t>complete the Form 1212. Please refer to the screen shot below:</w:t>
      </w:r>
    </w:p>
    <w:p w:rsidR="00FA0B13" w:rsidRDefault="00FA0B13" w:rsidP="00FA0B13">
      <w:pPr>
        <w:ind w:left="720"/>
        <w:rPr>
          <w:rFonts w:ascii="Arial" w:hAnsi="Arial" w:cs="Arial"/>
          <w:bCs/>
          <w:sz w:val="22"/>
          <w:szCs w:val="22"/>
        </w:rPr>
      </w:pPr>
    </w:p>
    <w:p w:rsidR="00FA0B13" w:rsidRDefault="00BF7F7E" w:rsidP="00FA0B13">
      <w:pPr>
        <w:ind w:left="720"/>
        <w:rPr>
          <w:rFonts w:ascii="Arial" w:hAnsi="Arial" w:cs="Arial"/>
          <w:bCs/>
          <w:sz w:val="22"/>
          <w:szCs w:val="22"/>
        </w:rPr>
      </w:pPr>
      <w:r>
        <w:rPr>
          <w:rFonts w:ascii="Arial" w:hAnsi="Arial" w:cs="Arial"/>
          <w:noProof/>
          <w:sz w:val="22"/>
          <w:szCs w:val="22"/>
        </w:rPr>
        <w:drawing>
          <wp:inline distT="0" distB="0" distL="0" distR="0">
            <wp:extent cx="5439410" cy="3048000"/>
            <wp:effectExtent l="19050" t="0" r="889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39410" cy="3048000"/>
                    </a:xfrm>
                    <a:prstGeom prst="rect">
                      <a:avLst/>
                    </a:prstGeom>
                    <a:noFill/>
                    <a:ln w="9525">
                      <a:noFill/>
                      <a:miter lim="800000"/>
                      <a:headEnd/>
                      <a:tailEnd/>
                    </a:ln>
                  </pic:spPr>
                </pic:pic>
              </a:graphicData>
            </a:graphic>
          </wp:inline>
        </w:drawing>
      </w:r>
    </w:p>
    <w:p w:rsidR="00A824A5" w:rsidRDefault="00A824A5" w:rsidP="00A824A5">
      <w:pPr>
        <w:ind w:left="1440"/>
        <w:rPr>
          <w:rFonts w:ascii="Arial" w:hAnsi="Arial" w:cs="Arial"/>
          <w:bCs/>
          <w:sz w:val="22"/>
          <w:szCs w:val="22"/>
        </w:rPr>
      </w:pPr>
    </w:p>
    <w:p w:rsidR="00A824A5" w:rsidRDefault="006B2AD5" w:rsidP="006137F8">
      <w:pPr>
        <w:numPr>
          <w:ilvl w:val="1"/>
          <w:numId w:val="3"/>
        </w:numPr>
        <w:tabs>
          <w:tab w:val="left" w:pos="720"/>
        </w:tabs>
        <w:ind w:left="720"/>
        <w:rPr>
          <w:rFonts w:ascii="Arial" w:hAnsi="Arial" w:cs="Arial"/>
          <w:bCs/>
          <w:sz w:val="22"/>
          <w:szCs w:val="22"/>
        </w:rPr>
      </w:pPr>
      <w:r>
        <w:rPr>
          <w:rFonts w:ascii="Arial" w:hAnsi="Arial" w:cs="Arial"/>
          <w:bCs/>
          <w:sz w:val="22"/>
          <w:szCs w:val="22"/>
        </w:rPr>
        <w:t xml:space="preserve">NOTE:  The SAP development team is currently developing a change to all workflows that would limit the size of the audience of Project Systems workflows.  For this workflow only the Resident Engineer responsible for the project would receive the workflow item in SAP and receive the Outlook email message. </w:t>
      </w:r>
    </w:p>
    <w:p w:rsidR="006B2AD5" w:rsidRDefault="006B2AD5" w:rsidP="006B2AD5">
      <w:pPr>
        <w:ind w:left="1440"/>
        <w:rPr>
          <w:rFonts w:ascii="Arial" w:hAnsi="Arial" w:cs="Arial"/>
          <w:bCs/>
          <w:sz w:val="22"/>
          <w:szCs w:val="22"/>
        </w:rPr>
      </w:pPr>
    </w:p>
    <w:p w:rsidR="006B2AD5" w:rsidRPr="006137F8" w:rsidRDefault="006B2AD5" w:rsidP="00630603">
      <w:pPr>
        <w:numPr>
          <w:ilvl w:val="0"/>
          <w:numId w:val="3"/>
        </w:numPr>
        <w:ind w:left="360"/>
        <w:rPr>
          <w:rFonts w:ascii="Arial" w:hAnsi="Arial" w:cs="Arial"/>
          <w:bCs/>
          <w:sz w:val="22"/>
          <w:szCs w:val="22"/>
        </w:rPr>
      </w:pPr>
      <w:r w:rsidRPr="006137F8">
        <w:rPr>
          <w:rFonts w:ascii="Arial" w:hAnsi="Arial" w:cs="Arial"/>
          <w:bCs/>
          <w:sz w:val="22"/>
          <w:szCs w:val="22"/>
        </w:rPr>
        <w:t xml:space="preserve">Upon opening the workflow message, the Form 1212 for the project will be ready for modification.  </w:t>
      </w:r>
    </w:p>
    <w:p w:rsidR="006B2AD5" w:rsidRPr="006B2AD5" w:rsidRDefault="006B2AD5" w:rsidP="006B2AD5">
      <w:pPr>
        <w:ind w:left="720"/>
        <w:rPr>
          <w:rFonts w:ascii="Arial" w:hAnsi="Arial" w:cs="Arial"/>
          <w:b/>
          <w:bCs/>
          <w:sz w:val="22"/>
          <w:szCs w:val="22"/>
        </w:rPr>
      </w:pPr>
    </w:p>
    <w:p w:rsidR="006B2AD5" w:rsidRDefault="006B2AD5" w:rsidP="006137F8">
      <w:pPr>
        <w:numPr>
          <w:ilvl w:val="1"/>
          <w:numId w:val="3"/>
        </w:numPr>
        <w:tabs>
          <w:tab w:val="left" w:pos="720"/>
        </w:tabs>
        <w:ind w:left="720"/>
        <w:rPr>
          <w:rFonts w:ascii="Arial" w:hAnsi="Arial" w:cs="Arial"/>
          <w:bCs/>
          <w:sz w:val="22"/>
          <w:szCs w:val="22"/>
        </w:rPr>
      </w:pPr>
      <w:r>
        <w:rPr>
          <w:rFonts w:ascii="Arial" w:hAnsi="Arial" w:cs="Arial"/>
          <w:bCs/>
          <w:sz w:val="22"/>
          <w:szCs w:val="22"/>
        </w:rPr>
        <w:t>The top section of the form has two fields that need to be completed by the Resident Engineer (Contractor’s Name; Inspection Date).  All other fields will be automatically populated using existing information within SAP.  The Federal Oversight radio button is automatically selected based on the project information in SAP, but can be changed if necessary.  Please refer to the screen shot below:</w:t>
      </w:r>
    </w:p>
    <w:p w:rsidR="006B2AD5" w:rsidRDefault="006B2AD5" w:rsidP="006B2AD5">
      <w:pPr>
        <w:ind w:left="720"/>
        <w:rPr>
          <w:rFonts w:ascii="Arial" w:hAnsi="Arial" w:cs="Arial"/>
          <w:bCs/>
          <w:sz w:val="22"/>
          <w:szCs w:val="22"/>
        </w:rPr>
      </w:pPr>
      <w:r>
        <w:rPr>
          <w:rFonts w:ascii="Arial" w:hAnsi="Arial" w:cs="Arial"/>
          <w:bCs/>
          <w:sz w:val="22"/>
          <w:szCs w:val="22"/>
        </w:rPr>
        <w:lastRenderedPageBreak/>
        <w:tab/>
      </w:r>
      <w:r w:rsidR="00BF7F7E">
        <w:rPr>
          <w:rFonts w:ascii="Arial" w:hAnsi="Arial" w:cs="Arial"/>
          <w:noProof/>
          <w:sz w:val="22"/>
          <w:szCs w:val="22"/>
        </w:rPr>
        <w:drawing>
          <wp:inline distT="0" distB="0" distL="0" distR="0">
            <wp:extent cx="4345305" cy="207899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345305" cy="2078990"/>
                    </a:xfrm>
                    <a:prstGeom prst="rect">
                      <a:avLst/>
                    </a:prstGeom>
                    <a:noFill/>
                    <a:ln w="9525">
                      <a:noFill/>
                      <a:miter lim="800000"/>
                      <a:headEnd/>
                      <a:tailEnd/>
                    </a:ln>
                  </pic:spPr>
                </pic:pic>
              </a:graphicData>
            </a:graphic>
          </wp:inline>
        </w:drawing>
      </w:r>
    </w:p>
    <w:p w:rsidR="00630603" w:rsidRDefault="00630603" w:rsidP="006B2AD5">
      <w:pPr>
        <w:ind w:left="720"/>
        <w:rPr>
          <w:rFonts w:ascii="Arial" w:hAnsi="Arial" w:cs="Arial"/>
          <w:bCs/>
          <w:sz w:val="22"/>
          <w:szCs w:val="22"/>
        </w:rPr>
      </w:pPr>
    </w:p>
    <w:p w:rsidR="006B2AD5" w:rsidRDefault="006B2AD5" w:rsidP="00630603">
      <w:pPr>
        <w:numPr>
          <w:ilvl w:val="0"/>
          <w:numId w:val="5"/>
        </w:numPr>
        <w:tabs>
          <w:tab w:val="left" w:pos="720"/>
        </w:tabs>
        <w:ind w:left="720"/>
        <w:rPr>
          <w:rFonts w:ascii="Arial" w:hAnsi="Arial" w:cs="Arial"/>
          <w:bCs/>
          <w:sz w:val="22"/>
          <w:szCs w:val="22"/>
        </w:rPr>
      </w:pPr>
      <w:r>
        <w:rPr>
          <w:rFonts w:ascii="Arial" w:hAnsi="Arial" w:cs="Arial"/>
          <w:bCs/>
          <w:sz w:val="22"/>
          <w:szCs w:val="22"/>
        </w:rPr>
        <w:t xml:space="preserve">The bottom section of the form is the checklist </w:t>
      </w:r>
      <w:r w:rsidR="0050218F">
        <w:rPr>
          <w:rFonts w:ascii="Arial" w:hAnsi="Arial" w:cs="Arial"/>
          <w:bCs/>
          <w:sz w:val="22"/>
          <w:szCs w:val="22"/>
        </w:rPr>
        <w:t xml:space="preserve">of activities that should be complete as part of project acceptance.  All must be checked before submitting the form.  The Resident Engineer can select whether the project included a major bridge or not.  If a major bridge is included in the project, the </w:t>
      </w:r>
      <w:smartTag w:uri="urn:schemas-microsoft-com:office:smarttags" w:element="place">
        <w:smartTag w:uri="urn:schemas-microsoft-com:office:smarttags" w:element="PlaceName">
          <w:r w:rsidR="0050218F">
            <w:rPr>
              <w:rFonts w:ascii="Arial" w:hAnsi="Arial" w:cs="Arial"/>
              <w:bCs/>
              <w:sz w:val="22"/>
              <w:szCs w:val="22"/>
            </w:rPr>
            <w:t>Staff</w:t>
          </w:r>
        </w:smartTag>
        <w:r w:rsidR="0050218F">
          <w:rPr>
            <w:rFonts w:ascii="Arial" w:hAnsi="Arial" w:cs="Arial"/>
            <w:bCs/>
            <w:sz w:val="22"/>
            <w:szCs w:val="22"/>
          </w:rPr>
          <w:t xml:space="preserve"> </w:t>
        </w:r>
        <w:smartTag w:uri="urn:schemas-microsoft-com:office:smarttags" w:element="PlaceType">
          <w:r w:rsidR="0050218F">
            <w:rPr>
              <w:rFonts w:ascii="Arial" w:hAnsi="Arial" w:cs="Arial"/>
              <w:bCs/>
              <w:sz w:val="22"/>
              <w:szCs w:val="22"/>
            </w:rPr>
            <w:t>Bridge</w:t>
          </w:r>
        </w:smartTag>
      </w:smartTag>
      <w:r w:rsidR="0050218F">
        <w:rPr>
          <w:rFonts w:ascii="Arial" w:hAnsi="Arial" w:cs="Arial"/>
          <w:bCs/>
          <w:sz w:val="22"/>
          <w:szCs w:val="22"/>
        </w:rPr>
        <w:t xml:space="preserve"> inspection checkbox must be selected before submitting the form.  Please refer to the screen shot below:</w:t>
      </w:r>
    </w:p>
    <w:p w:rsidR="0050218F" w:rsidRDefault="0050218F" w:rsidP="0050218F">
      <w:pPr>
        <w:ind w:left="1080"/>
        <w:rPr>
          <w:rFonts w:ascii="Arial" w:hAnsi="Arial" w:cs="Arial"/>
          <w:bCs/>
          <w:sz w:val="22"/>
          <w:szCs w:val="22"/>
        </w:rPr>
      </w:pPr>
      <w:r>
        <w:rPr>
          <w:rFonts w:ascii="Arial" w:hAnsi="Arial" w:cs="Arial"/>
          <w:bCs/>
          <w:sz w:val="22"/>
          <w:szCs w:val="22"/>
        </w:rPr>
        <w:tab/>
      </w:r>
      <w:r w:rsidR="00BF7F7E">
        <w:rPr>
          <w:rFonts w:ascii="Arial" w:hAnsi="Arial" w:cs="Arial"/>
          <w:noProof/>
          <w:sz w:val="22"/>
          <w:szCs w:val="22"/>
        </w:rPr>
        <w:drawing>
          <wp:inline distT="0" distB="0" distL="0" distR="0">
            <wp:extent cx="5580380" cy="3532505"/>
            <wp:effectExtent l="19050" t="0" r="127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580380" cy="3532505"/>
                    </a:xfrm>
                    <a:prstGeom prst="rect">
                      <a:avLst/>
                    </a:prstGeom>
                    <a:noFill/>
                    <a:ln w="9525">
                      <a:noFill/>
                      <a:miter lim="800000"/>
                      <a:headEnd/>
                      <a:tailEnd/>
                    </a:ln>
                  </pic:spPr>
                </pic:pic>
              </a:graphicData>
            </a:graphic>
          </wp:inline>
        </w:drawing>
      </w:r>
    </w:p>
    <w:p w:rsidR="0050218F" w:rsidRDefault="0050218F" w:rsidP="0050218F">
      <w:pPr>
        <w:ind w:left="1080"/>
        <w:rPr>
          <w:rFonts w:ascii="Arial" w:hAnsi="Arial" w:cs="Arial"/>
          <w:bCs/>
          <w:sz w:val="22"/>
          <w:szCs w:val="22"/>
        </w:rPr>
      </w:pPr>
    </w:p>
    <w:p w:rsidR="00536076" w:rsidRDefault="0050218F" w:rsidP="00630603">
      <w:pPr>
        <w:numPr>
          <w:ilvl w:val="0"/>
          <w:numId w:val="5"/>
        </w:numPr>
        <w:tabs>
          <w:tab w:val="left" w:pos="720"/>
        </w:tabs>
        <w:ind w:left="720"/>
        <w:rPr>
          <w:rFonts w:ascii="Arial" w:hAnsi="Arial" w:cs="Arial"/>
          <w:bCs/>
          <w:sz w:val="22"/>
          <w:szCs w:val="22"/>
        </w:rPr>
      </w:pPr>
      <w:r>
        <w:rPr>
          <w:rFonts w:ascii="Arial" w:hAnsi="Arial" w:cs="Arial"/>
          <w:bCs/>
          <w:sz w:val="22"/>
          <w:szCs w:val="22"/>
        </w:rPr>
        <w:t>The Resident Engineer and date field</w:t>
      </w:r>
      <w:r w:rsidR="00536076">
        <w:rPr>
          <w:rFonts w:ascii="Arial" w:hAnsi="Arial" w:cs="Arial"/>
          <w:bCs/>
          <w:sz w:val="22"/>
          <w:szCs w:val="22"/>
        </w:rPr>
        <w:t>s</w:t>
      </w:r>
      <w:r>
        <w:rPr>
          <w:rFonts w:ascii="Arial" w:hAnsi="Arial" w:cs="Arial"/>
          <w:bCs/>
          <w:sz w:val="22"/>
          <w:szCs w:val="22"/>
        </w:rPr>
        <w:t xml:space="preserve"> at the bottom of the form are automatically populated with the user initiating the workflow and the current date.  These can be changed if needed.  </w:t>
      </w:r>
    </w:p>
    <w:p w:rsidR="0050218F" w:rsidRDefault="0050218F" w:rsidP="00630603">
      <w:pPr>
        <w:numPr>
          <w:ilvl w:val="0"/>
          <w:numId w:val="5"/>
        </w:numPr>
        <w:tabs>
          <w:tab w:val="left" w:pos="720"/>
        </w:tabs>
        <w:ind w:left="720"/>
        <w:rPr>
          <w:rFonts w:ascii="Arial" w:hAnsi="Arial" w:cs="Arial"/>
          <w:bCs/>
          <w:sz w:val="22"/>
          <w:szCs w:val="22"/>
        </w:rPr>
      </w:pPr>
      <w:r>
        <w:rPr>
          <w:rFonts w:ascii="Arial" w:hAnsi="Arial" w:cs="Arial"/>
          <w:bCs/>
          <w:sz w:val="22"/>
          <w:szCs w:val="22"/>
        </w:rPr>
        <w:lastRenderedPageBreak/>
        <w:t xml:space="preserve">Click the “Submit” button </w:t>
      </w:r>
      <w:r w:rsidR="00BF7F7E">
        <w:rPr>
          <w:rFonts w:ascii="Arial" w:hAnsi="Arial" w:cs="Arial"/>
          <w:noProof/>
          <w:sz w:val="22"/>
          <w:szCs w:val="22"/>
        </w:rPr>
        <w:drawing>
          <wp:inline distT="0" distB="0" distL="0" distR="0">
            <wp:extent cx="1403966" cy="470848"/>
            <wp:effectExtent l="19050" t="0" r="5734"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401426" cy="470848"/>
                    </a:xfrm>
                    <a:prstGeom prst="rect">
                      <a:avLst/>
                    </a:prstGeom>
                    <a:noFill/>
                    <a:ln w="9525">
                      <a:noFill/>
                      <a:miter lim="800000"/>
                      <a:headEnd/>
                      <a:tailEnd/>
                    </a:ln>
                  </pic:spPr>
                </pic:pic>
              </a:graphicData>
            </a:graphic>
          </wp:inline>
        </w:drawing>
      </w:r>
      <w:r>
        <w:rPr>
          <w:rFonts w:ascii="Arial" w:hAnsi="Arial" w:cs="Arial"/>
          <w:bCs/>
          <w:sz w:val="22"/>
          <w:szCs w:val="22"/>
        </w:rPr>
        <w:t>to complete the Form 1212.</w:t>
      </w:r>
    </w:p>
    <w:p w:rsidR="00630603" w:rsidRDefault="00630603" w:rsidP="00630603">
      <w:pPr>
        <w:tabs>
          <w:tab w:val="left" w:pos="720"/>
        </w:tabs>
        <w:rPr>
          <w:rFonts w:ascii="Arial" w:hAnsi="Arial" w:cs="Arial"/>
          <w:bCs/>
          <w:sz w:val="22"/>
          <w:szCs w:val="22"/>
        </w:rPr>
      </w:pPr>
    </w:p>
    <w:p w:rsidR="008A3849" w:rsidRDefault="008A3849" w:rsidP="00630603">
      <w:pPr>
        <w:numPr>
          <w:ilvl w:val="0"/>
          <w:numId w:val="5"/>
        </w:numPr>
        <w:tabs>
          <w:tab w:val="left" w:pos="720"/>
        </w:tabs>
        <w:ind w:left="720"/>
        <w:rPr>
          <w:rFonts w:ascii="Arial" w:hAnsi="Arial" w:cs="Arial"/>
          <w:bCs/>
          <w:sz w:val="22"/>
          <w:szCs w:val="22"/>
        </w:rPr>
      </w:pPr>
      <w:r>
        <w:rPr>
          <w:rFonts w:ascii="Arial" w:hAnsi="Arial" w:cs="Arial"/>
          <w:bCs/>
          <w:sz w:val="22"/>
          <w:szCs w:val="22"/>
        </w:rPr>
        <w:t>If the Resident Engineer is not ready to complete the Form 1212</w:t>
      </w:r>
      <w:r w:rsidR="000E3B72">
        <w:rPr>
          <w:rFonts w:ascii="Arial" w:hAnsi="Arial" w:cs="Arial"/>
          <w:bCs/>
          <w:sz w:val="22"/>
          <w:szCs w:val="22"/>
        </w:rPr>
        <w:t xml:space="preserve"> when </w:t>
      </w:r>
      <w:r w:rsidR="004D423F">
        <w:rPr>
          <w:rFonts w:ascii="Arial" w:hAnsi="Arial" w:cs="Arial"/>
          <w:bCs/>
          <w:sz w:val="22"/>
          <w:szCs w:val="22"/>
        </w:rPr>
        <w:t xml:space="preserve">he </w:t>
      </w:r>
      <w:r w:rsidR="000E3B72">
        <w:rPr>
          <w:rFonts w:ascii="Arial" w:hAnsi="Arial" w:cs="Arial"/>
          <w:bCs/>
          <w:sz w:val="22"/>
          <w:szCs w:val="22"/>
        </w:rPr>
        <w:t>receive</w:t>
      </w:r>
      <w:r w:rsidR="004D423F">
        <w:rPr>
          <w:rFonts w:ascii="Arial" w:hAnsi="Arial" w:cs="Arial"/>
          <w:bCs/>
          <w:sz w:val="22"/>
          <w:szCs w:val="22"/>
        </w:rPr>
        <w:t>s</w:t>
      </w:r>
      <w:r w:rsidR="000E3B72">
        <w:rPr>
          <w:rFonts w:ascii="Arial" w:hAnsi="Arial" w:cs="Arial"/>
          <w:bCs/>
          <w:sz w:val="22"/>
          <w:szCs w:val="22"/>
        </w:rPr>
        <w:t xml:space="preserve"> the workflow</w:t>
      </w:r>
      <w:r>
        <w:rPr>
          <w:rFonts w:ascii="Arial" w:hAnsi="Arial" w:cs="Arial"/>
          <w:bCs/>
          <w:sz w:val="22"/>
          <w:szCs w:val="22"/>
        </w:rPr>
        <w:t xml:space="preserve">, then the workflow </w:t>
      </w:r>
      <w:r w:rsidR="000E3B72">
        <w:rPr>
          <w:rFonts w:ascii="Arial" w:hAnsi="Arial" w:cs="Arial"/>
          <w:bCs/>
          <w:sz w:val="22"/>
          <w:szCs w:val="22"/>
        </w:rPr>
        <w:t xml:space="preserve">should </w:t>
      </w:r>
      <w:r>
        <w:rPr>
          <w:rFonts w:ascii="Arial" w:hAnsi="Arial" w:cs="Arial"/>
          <w:bCs/>
          <w:sz w:val="22"/>
          <w:szCs w:val="22"/>
        </w:rPr>
        <w:t>be reserved</w:t>
      </w:r>
      <w:r w:rsidR="000E3B72">
        <w:rPr>
          <w:rFonts w:ascii="Arial" w:hAnsi="Arial" w:cs="Arial"/>
          <w:bCs/>
          <w:sz w:val="22"/>
          <w:szCs w:val="22"/>
        </w:rPr>
        <w:t xml:space="preserve"> with that Resident Engineer</w:t>
      </w:r>
      <w:r>
        <w:rPr>
          <w:rFonts w:ascii="Arial" w:hAnsi="Arial" w:cs="Arial"/>
          <w:bCs/>
          <w:sz w:val="22"/>
          <w:szCs w:val="22"/>
        </w:rPr>
        <w:t>. Open the workflow item</w:t>
      </w:r>
      <w:r w:rsidR="00630603">
        <w:rPr>
          <w:rFonts w:ascii="Arial" w:hAnsi="Arial" w:cs="Arial"/>
          <w:bCs/>
          <w:sz w:val="22"/>
          <w:szCs w:val="22"/>
        </w:rPr>
        <w:t xml:space="preserve">; </w:t>
      </w:r>
      <w:r>
        <w:rPr>
          <w:rFonts w:ascii="Arial" w:hAnsi="Arial" w:cs="Arial"/>
          <w:bCs/>
          <w:sz w:val="22"/>
          <w:szCs w:val="22"/>
        </w:rPr>
        <w:t xml:space="preserve">then close it without completing it. It will show that this workflow is only in that </w:t>
      </w:r>
      <w:r w:rsidR="00AB47B3">
        <w:rPr>
          <w:rFonts w:ascii="Arial" w:hAnsi="Arial" w:cs="Arial"/>
          <w:bCs/>
          <w:sz w:val="22"/>
          <w:szCs w:val="22"/>
        </w:rPr>
        <w:t xml:space="preserve">Resident Engineer’s </w:t>
      </w:r>
      <w:r>
        <w:rPr>
          <w:rFonts w:ascii="Arial" w:hAnsi="Arial" w:cs="Arial"/>
          <w:bCs/>
          <w:sz w:val="22"/>
          <w:szCs w:val="22"/>
        </w:rPr>
        <w:t>SAP business workplace. See screen shot below:</w:t>
      </w:r>
    </w:p>
    <w:p w:rsidR="00630603" w:rsidRDefault="00630603" w:rsidP="00630603">
      <w:pPr>
        <w:pStyle w:val="ListParagraph"/>
        <w:rPr>
          <w:rFonts w:ascii="Arial" w:hAnsi="Arial" w:cs="Arial"/>
          <w:bCs/>
          <w:sz w:val="22"/>
          <w:szCs w:val="22"/>
        </w:rPr>
      </w:pPr>
    </w:p>
    <w:p w:rsidR="008A3849" w:rsidRDefault="00BF7F7E" w:rsidP="008A3849">
      <w:pPr>
        <w:ind w:left="720"/>
        <w:rPr>
          <w:rFonts w:ascii="Arial" w:hAnsi="Arial" w:cs="Arial"/>
          <w:bCs/>
          <w:sz w:val="22"/>
          <w:szCs w:val="22"/>
        </w:rPr>
      </w:pPr>
      <w:r>
        <w:rPr>
          <w:rFonts w:ascii="Arial" w:hAnsi="Arial" w:cs="Arial"/>
          <w:noProof/>
          <w:sz w:val="22"/>
          <w:szCs w:val="22"/>
        </w:rPr>
        <w:drawing>
          <wp:inline distT="0" distB="0" distL="0" distR="0">
            <wp:extent cx="4517390" cy="115697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517390" cy="1156970"/>
                    </a:xfrm>
                    <a:prstGeom prst="rect">
                      <a:avLst/>
                    </a:prstGeom>
                    <a:noFill/>
                    <a:ln w="9525">
                      <a:noFill/>
                      <a:miter lim="800000"/>
                      <a:headEnd/>
                      <a:tailEnd/>
                    </a:ln>
                  </pic:spPr>
                </pic:pic>
              </a:graphicData>
            </a:graphic>
          </wp:inline>
        </w:drawing>
      </w:r>
    </w:p>
    <w:p w:rsidR="00630603" w:rsidRDefault="00630603" w:rsidP="008A3849">
      <w:pPr>
        <w:ind w:left="720"/>
        <w:rPr>
          <w:rFonts w:ascii="Arial" w:hAnsi="Arial" w:cs="Arial"/>
          <w:bCs/>
          <w:sz w:val="22"/>
          <w:szCs w:val="22"/>
        </w:rPr>
      </w:pPr>
    </w:p>
    <w:p w:rsidR="008A3849" w:rsidRDefault="008A3849" w:rsidP="00630603">
      <w:pPr>
        <w:numPr>
          <w:ilvl w:val="0"/>
          <w:numId w:val="6"/>
        </w:numPr>
        <w:tabs>
          <w:tab w:val="clear" w:pos="1800"/>
          <w:tab w:val="num" w:pos="720"/>
        </w:tabs>
        <w:ind w:left="720"/>
        <w:rPr>
          <w:rFonts w:ascii="Arial" w:hAnsi="Arial" w:cs="Arial"/>
          <w:bCs/>
          <w:sz w:val="22"/>
          <w:szCs w:val="22"/>
        </w:rPr>
      </w:pPr>
      <w:r>
        <w:rPr>
          <w:rFonts w:ascii="Arial" w:hAnsi="Arial" w:cs="Arial"/>
          <w:bCs/>
          <w:sz w:val="22"/>
          <w:szCs w:val="22"/>
        </w:rPr>
        <w:t xml:space="preserve">The workflows only in the Resident Engineer’s workplace show a blue and white box under status. This is referred to as </w:t>
      </w:r>
      <w:r w:rsidR="00AB47B3">
        <w:rPr>
          <w:rFonts w:ascii="Arial" w:hAnsi="Arial" w:cs="Arial"/>
          <w:bCs/>
          <w:sz w:val="22"/>
          <w:szCs w:val="22"/>
        </w:rPr>
        <w:t>“r</w:t>
      </w:r>
      <w:r>
        <w:rPr>
          <w:rFonts w:ascii="Arial" w:hAnsi="Arial" w:cs="Arial"/>
          <w:bCs/>
          <w:sz w:val="22"/>
          <w:szCs w:val="22"/>
        </w:rPr>
        <w:t xml:space="preserve">eserving the </w:t>
      </w:r>
      <w:r w:rsidR="00AB47B3">
        <w:rPr>
          <w:rFonts w:ascii="Arial" w:hAnsi="Arial" w:cs="Arial"/>
          <w:bCs/>
          <w:sz w:val="22"/>
          <w:szCs w:val="22"/>
        </w:rPr>
        <w:t>w</w:t>
      </w:r>
      <w:r>
        <w:rPr>
          <w:rFonts w:ascii="Arial" w:hAnsi="Arial" w:cs="Arial"/>
          <w:bCs/>
          <w:sz w:val="22"/>
          <w:szCs w:val="22"/>
        </w:rPr>
        <w:t>orkflow item.</w:t>
      </w:r>
      <w:r w:rsidR="00AB47B3">
        <w:rPr>
          <w:rFonts w:ascii="Arial" w:hAnsi="Arial" w:cs="Arial"/>
          <w:bCs/>
          <w:sz w:val="22"/>
          <w:szCs w:val="22"/>
        </w:rPr>
        <w:t>”</w:t>
      </w:r>
      <w:r>
        <w:rPr>
          <w:rFonts w:ascii="Arial" w:hAnsi="Arial" w:cs="Arial"/>
          <w:bCs/>
          <w:sz w:val="22"/>
          <w:szCs w:val="22"/>
        </w:rPr>
        <w:t xml:space="preserve"> </w:t>
      </w:r>
    </w:p>
    <w:p w:rsidR="008A3849" w:rsidRDefault="008A3849" w:rsidP="00630603">
      <w:pPr>
        <w:numPr>
          <w:ilvl w:val="0"/>
          <w:numId w:val="6"/>
        </w:numPr>
        <w:tabs>
          <w:tab w:val="clear" w:pos="1800"/>
          <w:tab w:val="num" w:pos="720"/>
        </w:tabs>
        <w:ind w:left="720"/>
        <w:rPr>
          <w:rFonts w:ascii="Arial" w:hAnsi="Arial" w:cs="Arial"/>
          <w:bCs/>
          <w:sz w:val="22"/>
          <w:szCs w:val="22"/>
        </w:rPr>
      </w:pPr>
      <w:r>
        <w:rPr>
          <w:rFonts w:ascii="Arial" w:hAnsi="Arial" w:cs="Arial"/>
          <w:bCs/>
          <w:sz w:val="22"/>
          <w:szCs w:val="22"/>
        </w:rPr>
        <w:t>The workflows in all the Region’s Resident Engineers</w:t>
      </w:r>
      <w:r w:rsidR="00E8477A">
        <w:rPr>
          <w:rFonts w:ascii="Arial" w:hAnsi="Arial" w:cs="Arial"/>
          <w:bCs/>
          <w:sz w:val="22"/>
          <w:szCs w:val="22"/>
        </w:rPr>
        <w:t>'</w:t>
      </w:r>
      <w:r>
        <w:rPr>
          <w:rFonts w:ascii="Arial" w:hAnsi="Arial" w:cs="Arial"/>
          <w:bCs/>
          <w:sz w:val="22"/>
          <w:szCs w:val="22"/>
        </w:rPr>
        <w:t xml:space="preserve"> workplace</w:t>
      </w:r>
      <w:r w:rsidR="004D423F">
        <w:rPr>
          <w:rFonts w:ascii="Arial" w:hAnsi="Arial" w:cs="Arial"/>
          <w:bCs/>
          <w:sz w:val="22"/>
          <w:szCs w:val="22"/>
        </w:rPr>
        <w:t>s</w:t>
      </w:r>
      <w:r>
        <w:rPr>
          <w:rFonts w:ascii="Arial" w:hAnsi="Arial" w:cs="Arial"/>
          <w:bCs/>
          <w:sz w:val="22"/>
          <w:szCs w:val="22"/>
        </w:rPr>
        <w:t xml:space="preserve"> show a white only box. </w:t>
      </w:r>
    </w:p>
    <w:p w:rsidR="008A3849" w:rsidRDefault="008A3849" w:rsidP="00630603">
      <w:pPr>
        <w:numPr>
          <w:ilvl w:val="0"/>
          <w:numId w:val="6"/>
        </w:numPr>
        <w:tabs>
          <w:tab w:val="clear" w:pos="1800"/>
          <w:tab w:val="num" w:pos="720"/>
        </w:tabs>
        <w:ind w:left="720"/>
        <w:rPr>
          <w:rFonts w:ascii="Arial" w:hAnsi="Arial" w:cs="Arial"/>
          <w:bCs/>
          <w:sz w:val="22"/>
          <w:szCs w:val="22"/>
        </w:rPr>
      </w:pPr>
      <w:r>
        <w:rPr>
          <w:rFonts w:ascii="Arial" w:hAnsi="Arial" w:cs="Arial"/>
          <w:bCs/>
          <w:sz w:val="22"/>
          <w:szCs w:val="22"/>
        </w:rPr>
        <w:t xml:space="preserve">The Resident Engineer can come back to this reserved Form 1212 workflow when </w:t>
      </w:r>
      <w:r w:rsidR="00630603">
        <w:rPr>
          <w:rFonts w:ascii="Arial" w:hAnsi="Arial" w:cs="Arial"/>
          <w:bCs/>
          <w:sz w:val="22"/>
          <w:szCs w:val="22"/>
        </w:rPr>
        <w:t>he is</w:t>
      </w:r>
      <w:r>
        <w:rPr>
          <w:rFonts w:ascii="Arial" w:hAnsi="Arial" w:cs="Arial"/>
          <w:bCs/>
          <w:sz w:val="22"/>
          <w:szCs w:val="22"/>
        </w:rPr>
        <w:t xml:space="preserve"> ready to complete it. </w:t>
      </w:r>
    </w:p>
    <w:p w:rsidR="008A3849" w:rsidRDefault="008A3849" w:rsidP="00630603">
      <w:pPr>
        <w:numPr>
          <w:ilvl w:val="0"/>
          <w:numId w:val="6"/>
        </w:numPr>
        <w:tabs>
          <w:tab w:val="clear" w:pos="1800"/>
          <w:tab w:val="num" w:pos="720"/>
        </w:tabs>
        <w:ind w:left="720"/>
        <w:rPr>
          <w:rFonts w:ascii="Arial" w:hAnsi="Arial" w:cs="Arial"/>
          <w:bCs/>
          <w:sz w:val="22"/>
          <w:szCs w:val="22"/>
        </w:rPr>
      </w:pPr>
      <w:r>
        <w:rPr>
          <w:rFonts w:ascii="Arial" w:hAnsi="Arial" w:cs="Arial"/>
          <w:bCs/>
          <w:sz w:val="22"/>
          <w:szCs w:val="22"/>
        </w:rPr>
        <w:t>If you want to unreserve a Form 1212 workflow and put it back in all the Region’s workplace</w:t>
      </w:r>
      <w:r w:rsidR="00630603">
        <w:rPr>
          <w:rFonts w:ascii="Arial" w:hAnsi="Arial" w:cs="Arial"/>
          <w:bCs/>
          <w:sz w:val="22"/>
          <w:szCs w:val="22"/>
        </w:rPr>
        <w:t>s</w:t>
      </w:r>
      <w:r>
        <w:rPr>
          <w:rFonts w:ascii="Arial" w:hAnsi="Arial" w:cs="Arial"/>
          <w:bCs/>
          <w:sz w:val="22"/>
          <w:szCs w:val="22"/>
        </w:rPr>
        <w:t xml:space="preserve">, </w:t>
      </w:r>
      <w:r w:rsidR="00630603">
        <w:rPr>
          <w:rFonts w:ascii="Arial" w:hAnsi="Arial" w:cs="Arial"/>
          <w:bCs/>
          <w:sz w:val="22"/>
          <w:szCs w:val="22"/>
        </w:rPr>
        <w:t xml:space="preserve">highlight </w:t>
      </w:r>
      <w:r>
        <w:rPr>
          <w:rFonts w:ascii="Arial" w:hAnsi="Arial" w:cs="Arial"/>
          <w:bCs/>
          <w:sz w:val="22"/>
          <w:szCs w:val="22"/>
        </w:rPr>
        <w:t xml:space="preserve">the workflow and then press the </w:t>
      </w:r>
      <w:r w:rsidR="00BF7F7E">
        <w:rPr>
          <w:rFonts w:ascii="Arial" w:hAnsi="Arial" w:cs="Arial"/>
          <w:noProof/>
          <w:sz w:val="22"/>
          <w:szCs w:val="22"/>
        </w:rPr>
        <w:drawing>
          <wp:inline distT="0" distB="0" distL="0" distR="0">
            <wp:extent cx="257810" cy="257810"/>
            <wp:effectExtent l="19050" t="0" r="889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257810" cy="257810"/>
                    </a:xfrm>
                    <a:prstGeom prst="rect">
                      <a:avLst/>
                    </a:prstGeom>
                    <a:noFill/>
                    <a:ln w="9525">
                      <a:noFill/>
                      <a:miter lim="800000"/>
                      <a:headEnd/>
                      <a:tailEnd/>
                    </a:ln>
                  </pic:spPr>
                </pic:pic>
              </a:graphicData>
            </a:graphic>
          </wp:inline>
        </w:drawing>
      </w:r>
      <w:r>
        <w:rPr>
          <w:rFonts w:ascii="Arial" w:hAnsi="Arial" w:cs="Arial"/>
          <w:bCs/>
          <w:sz w:val="22"/>
          <w:szCs w:val="22"/>
        </w:rPr>
        <w:t xml:space="preserve"> button. </w:t>
      </w:r>
    </w:p>
    <w:p w:rsidR="00CB69FF" w:rsidRDefault="00CB69FF" w:rsidP="00CB69FF">
      <w:pPr>
        <w:rPr>
          <w:rFonts w:ascii="Arial" w:hAnsi="Arial" w:cs="Arial"/>
          <w:bCs/>
          <w:sz w:val="22"/>
          <w:szCs w:val="22"/>
        </w:rPr>
      </w:pPr>
    </w:p>
    <w:p w:rsidR="00CB69FF" w:rsidRPr="00630603" w:rsidRDefault="00AB47B3" w:rsidP="00CB69FF">
      <w:pPr>
        <w:numPr>
          <w:ilvl w:val="0"/>
          <w:numId w:val="3"/>
        </w:numPr>
        <w:rPr>
          <w:rFonts w:ascii="Arial" w:hAnsi="Arial" w:cs="Arial"/>
          <w:bCs/>
          <w:sz w:val="22"/>
          <w:szCs w:val="22"/>
        </w:rPr>
      </w:pPr>
      <w:r w:rsidRPr="00630603">
        <w:rPr>
          <w:rFonts w:ascii="Arial" w:hAnsi="Arial" w:cs="Arial"/>
          <w:bCs/>
          <w:sz w:val="22"/>
          <w:szCs w:val="22"/>
        </w:rPr>
        <w:t>After the submit button</w:t>
      </w:r>
      <w:r w:rsidR="00126E93">
        <w:rPr>
          <w:rFonts w:ascii="Arial" w:hAnsi="Arial" w:cs="Arial"/>
          <w:bCs/>
          <w:sz w:val="22"/>
          <w:szCs w:val="22"/>
        </w:rPr>
        <w:t xml:space="preserve"> is hit</w:t>
      </w:r>
      <w:r w:rsidRPr="00630603">
        <w:rPr>
          <w:rFonts w:ascii="Arial" w:hAnsi="Arial" w:cs="Arial"/>
          <w:bCs/>
          <w:sz w:val="22"/>
          <w:szCs w:val="22"/>
        </w:rPr>
        <w:t>, t</w:t>
      </w:r>
      <w:r w:rsidR="00CB69FF" w:rsidRPr="00630603">
        <w:rPr>
          <w:rFonts w:ascii="Arial" w:hAnsi="Arial" w:cs="Arial"/>
          <w:bCs/>
          <w:sz w:val="22"/>
          <w:szCs w:val="22"/>
        </w:rPr>
        <w:t xml:space="preserve">he workflow </w:t>
      </w:r>
      <w:r w:rsidR="00126E93">
        <w:rPr>
          <w:rFonts w:ascii="Arial" w:hAnsi="Arial" w:cs="Arial"/>
          <w:bCs/>
          <w:sz w:val="22"/>
          <w:szCs w:val="22"/>
        </w:rPr>
        <w:t xml:space="preserve">is automatically </w:t>
      </w:r>
      <w:r w:rsidR="00CB69FF" w:rsidRPr="00630603">
        <w:rPr>
          <w:rFonts w:ascii="Arial" w:hAnsi="Arial" w:cs="Arial"/>
          <w:bCs/>
          <w:sz w:val="22"/>
          <w:szCs w:val="22"/>
        </w:rPr>
        <w:t>complete</w:t>
      </w:r>
      <w:r w:rsidR="00126E93">
        <w:rPr>
          <w:rFonts w:ascii="Arial" w:hAnsi="Arial" w:cs="Arial"/>
          <w:bCs/>
          <w:sz w:val="22"/>
          <w:szCs w:val="22"/>
        </w:rPr>
        <w:t>d</w:t>
      </w:r>
      <w:r w:rsidR="00CB69FF" w:rsidRPr="00630603">
        <w:rPr>
          <w:rFonts w:ascii="Arial" w:hAnsi="Arial" w:cs="Arial"/>
          <w:bCs/>
          <w:sz w:val="22"/>
          <w:szCs w:val="22"/>
        </w:rPr>
        <w:t xml:space="preserve"> and an Outlook message is sent to all Resident Engineers indicating that the Form 1212 is complete.  Attached is a </w:t>
      </w:r>
      <w:r w:rsidR="00126E93" w:rsidRPr="00630603">
        <w:rPr>
          <w:rFonts w:ascii="Arial" w:hAnsi="Arial" w:cs="Arial"/>
          <w:bCs/>
          <w:sz w:val="22"/>
          <w:szCs w:val="22"/>
        </w:rPr>
        <w:t>pdf</w:t>
      </w:r>
      <w:r w:rsidR="00CB69FF" w:rsidRPr="00630603">
        <w:rPr>
          <w:rFonts w:ascii="Arial" w:hAnsi="Arial" w:cs="Arial"/>
          <w:bCs/>
          <w:sz w:val="22"/>
          <w:szCs w:val="22"/>
        </w:rPr>
        <w:t xml:space="preserve"> copy of the completed form.  The Resident Engineer should print the </w:t>
      </w:r>
      <w:r w:rsidR="00126E93" w:rsidRPr="00630603">
        <w:rPr>
          <w:rFonts w:ascii="Arial" w:hAnsi="Arial" w:cs="Arial"/>
          <w:bCs/>
          <w:sz w:val="22"/>
          <w:szCs w:val="22"/>
        </w:rPr>
        <w:t xml:space="preserve">pdf </w:t>
      </w:r>
      <w:r w:rsidR="00CB69FF" w:rsidRPr="00630603">
        <w:rPr>
          <w:rFonts w:ascii="Arial" w:hAnsi="Arial" w:cs="Arial"/>
          <w:bCs/>
          <w:sz w:val="22"/>
          <w:szCs w:val="22"/>
        </w:rPr>
        <w:t>copy, sign it and send the form with other project closure paperwork to the Region Finals Engineer.  Please refer to the example below:</w:t>
      </w:r>
    </w:p>
    <w:p w:rsidR="00CB69FF" w:rsidRDefault="00CB69FF" w:rsidP="00CB69FF">
      <w:pPr>
        <w:rPr>
          <w:rFonts w:ascii="Arial" w:hAnsi="Arial" w:cs="Arial"/>
          <w:bCs/>
          <w:sz w:val="22"/>
          <w:szCs w:val="22"/>
        </w:rPr>
      </w:pPr>
    </w:p>
    <w:p w:rsidR="00CB69FF" w:rsidRPr="0090379D" w:rsidRDefault="00CB69FF" w:rsidP="00CB69FF">
      <w:pPr>
        <w:pStyle w:val="PlainText"/>
        <w:rPr>
          <w:sz w:val="16"/>
          <w:szCs w:val="16"/>
        </w:rPr>
      </w:pPr>
      <w:r>
        <w:tab/>
      </w:r>
      <w:r>
        <w:tab/>
      </w:r>
      <w:r w:rsidRPr="0090379D">
        <w:rPr>
          <w:sz w:val="16"/>
          <w:szCs w:val="16"/>
        </w:rPr>
        <w:t>From: Workflow System [mailto:WF-BATCH@dot.state.co.us]</w:t>
      </w:r>
    </w:p>
    <w:p w:rsidR="00CB69FF" w:rsidRPr="0090379D" w:rsidRDefault="00CB69FF" w:rsidP="00CB69FF">
      <w:pPr>
        <w:pStyle w:val="PlainText"/>
        <w:rPr>
          <w:sz w:val="16"/>
          <w:szCs w:val="16"/>
        </w:rPr>
      </w:pPr>
      <w:r w:rsidRPr="0090379D">
        <w:rPr>
          <w:sz w:val="16"/>
          <w:szCs w:val="16"/>
        </w:rPr>
        <w:tab/>
      </w:r>
      <w:r w:rsidRPr="0090379D">
        <w:rPr>
          <w:sz w:val="16"/>
          <w:szCs w:val="16"/>
        </w:rPr>
        <w:tab/>
        <w:t>Sent: Friday, August 20, 2010 2:45 PM</w:t>
      </w:r>
    </w:p>
    <w:p w:rsidR="00CB69FF" w:rsidRPr="0090379D" w:rsidRDefault="00CB69FF" w:rsidP="00CB69FF">
      <w:pPr>
        <w:pStyle w:val="PlainText"/>
        <w:rPr>
          <w:sz w:val="16"/>
          <w:szCs w:val="16"/>
        </w:rPr>
      </w:pPr>
      <w:r w:rsidRPr="0090379D">
        <w:rPr>
          <w:sz w:val="16"/>
          <w:szCs w:val="16"/>
        </w:rPr>
        <w:tab/>
      </w:r>
      <w:r w:rsidRPr="0090379D">
        <w:rPr>
          <w:sz w:val="16"/>
          <w:szCs w:val="16"/>
        </w:rPr>
        <w:tab/>
        <w:t>To: XXXXX</w:t>
      </w:r>
    </w:p>
    <w:p w:rsidR="00CB69FF" w:rsidRPr="0090379D" w:rsidRDefault="00CB69FF" w:rsidP="00CB69FF">
      <w:pPr>
        <w:pStyle w:val="PlainText"/>
        <w:rPr>
          <w:sz w:val="16"/>
          <w:szCs w:val="16"/>
        </w:rPr>
      </w:pPr>
      <w:r w:rsidRPr="0090379D">
        <w:rPr>
          <w:sz w:val="16"/>
          <w:szCs w:val="16"/>
        </w:rPr>
        <w:tab/>
      </w:r>
      <w:r w:rsidRPr="0090379D">
        <w:rPr>
          <w:sz w:val="16"/>
          <w:szCs w:val="16"/>
        </w:rPr>
        <w:tab/>
        <w:t>Subject: Notification: Form 1212 Complete for Proj 14959</w:t>
      </w:r>
    </w:p>
    <w:p w:rsidR="00CB69FF" w:rsidRPr="0090379D" w:rsidRDefault="00CB69FF" w:rsidP="00CB69FF">
      <w:pPr>
        <w:pStyle w:val="PlainText"/>
        <w:rPr>
          <w:sz w:val="16"/>
          <w:szCs w:val="16"/>
        </w:rPr>
      </w:pPr>
    </w:p>
    <w:p w:rsidR="00CB69FF" w:rsidRPr="0090379D" w:rsidRDefault="00CB69FF" w:rsidP="00CB69FF">
      <w:pPr>
        <w:pStyle w:val="PlainText"/>
        <w:rPr>
          <w:sz w:val="16"/>
          <w:szCs w:val="16"/>
        </w:rPr>
      </w:pPr>
      <w:r w:rsidRPr="0090379D">
        <w:rPr>
          <w:sz w:val="16"/>
          <w:szCs w:val="16"/>
        </w:rPr>
        <w:tab/>
      </w:r>
      <w:r w:rsidRPr="0090379D">
        <w:rPr>
          <w:sz w:val="16"/>
          <w:szCs w:val="16"/>
        </w:rPr>
        <w:tab/>
        <w:t xml:space="preserve">The constructed project has been accepted and the Form 1212 is attached for review. The Resident </w:t>
      </w:r>
      <w:r w:rsidR="0090379D">
        <w:rPr>
          <w:sz w:val="16"/>
          <w:szCs w:val="16"/>
        </w:rPr>
        <w:tab/>
      </w:r>
      <w:r w:rsidR="0090379D">
        <w:rPr>
          <w:sz w:val="16"/>
          <w:szCs w:val="16"/>
        </w:rPr>
        <w:tab/>
      </w:r>
      <w:r w:rsidR="0090379D">
        <w:rPr>
          <w:sz w:val="16"/>
          <w:szCs w:val="16"/>
        </w:rPr>
        <w:tab/>
      </w:r>
      <w:r w:rsidRPr="0090379D">
        <w:rPr>
          <w:sz w:val="16"/>
          <w:szCs w:val="16"/>
        </w:rPr>
        <w:t xml:space="preserve">Engineer should print and sign the form and distribute the signed form to the Regions Final </w:t>
      </w:r>
      <w:r w:rsidR="0090379D">
        <w:rPr>
          <w:sz w:val="16"/>
          <w:szCs w:val="16"/>
        </w:rPr>
        <w:tab/>
      </w:r>
      <w:r w:rsidR="0090379D">
        <w:rPr>
          <w:sz w:val="16"/>
          <w:szCs w:val="16"/>
        </w:rPr>
        <w:tab/>
      </w:r>
      <w:r w:rsidR="0090379D">
        <w:rPr>
          <w:sz w:val="16"/>
          <w:szCs w:val="16"/>
        </w:rPr>
        <w:tab/>
      </w:r>
      <w:r w:rsidRPr="0090379D">
        <w:rPr>
          <w:sz w:val="16"/>
          <w:szCs w:val="16"/>
        </w:rPr>
        <w:t>Engineer.</w:t>
      </w:r>
    </w:p>
    <w:p w:rsidR="00CB69FF" w:rsidRPr="0090379D" w:rsidRDefault="00CB69FF" w:rsidP="00CB69FF">
      <w:pPr>
        <w:pStyle w:val="PlainText"/>
        <w:rPr>
          <w:sz w:val="16"/>
          <w:szCs w:val="16"/>
        </w:rPr>
      </w:pPr>
    </w:p>
    <w:p w:rsidR="00CB69FF" w:rsidRPr="0090379D" w:rsidRDefault="00CB69FF" w:rsidP="00CB69FF">
      <w:pPr>
        <w:pStyle w:val="PlainText"/>
        <w:rPr>
          <w:sz w:val="16"/>
          <w:szCs w:val="16"/>
        </w:rPr>
      </w:pPr>
      <w:r w:rsidRPr="0090379D">
        <w:rPr>
          <w:sz w:val="16"/>
          <w:szCs w:val="16"/>
        </w:rPr>
        <w:tab/>
      </w:r>
      <w:r w:rsidRPr="0090379D">
        <w:rPr>
          <w:sz w:val="16"/>
          <w:szCs w:val="16"/>
        </w:rPr>
        <w:tab/>
        <w:t xml:space="preserve">Project Name: SH 58/ </w:t>
      </w:r>
      <w:smartTag w:uri="urn:schemas-microsoft-com:office:smarttags" w:element="Street">
        <w:smartTag w:uri="urn:schemas-microsoft-com:office:smarttags" w:element="address">
          <w:r w:rsidRPr="0090379D">
            <w:rPr>
              <w:sz w:val="16"/>
              <w:szCs w:val="16"/>
            </w:rPr>
            <w:t>44TH AVE</w:t>
          </w:r>
        </w:smartTag>
      </w:smartTag>
      <w:r w:rsidRPr="0090379D">
        <w:rPr>
          <w:sz w:val="16"/>
          <w:szCs w:val="16"/>
        </w:rPr>
        <w:t xml:space="preserve"> BRIDGE REPLACE.</w:t>
      </w:r>
    </w:p>
    <w:p w:rsidR="00CB69FF" w:rsidRPr="0090379D" w:rsidRDefault="00CB69FF" w:rsidP="00CB69FF">
      <w:pPr>
        <w:pStyle w:val="PlainText"/>
        <w:rPr>
          <w:sz w:val="16"/>
          <w:szCs w:val="16"/>
        </w:rPr>
      </w:pPr>
    </w:p>
    <w:p w:rsidR="00CB69FF" w:rsidRPr="0090379D" w:rsidRDefault="00CB69FF" w:rsidP="00CB69FF">
      <w:pPr>
        <w:pStyle w:val="PlainText"/>
        <w:rPr>
          <w:sz w:val="16"/>
          <w:szCs w:val="16"/>
        </w:rPr>
      </w:pPr>
      <w:r w:rsidRPr="0090379D">
        <w:rPr>
          <w:sz w:val="16"/>
          <w:szCs w:val="16"/>
        </w:rPr>
        <w:tab/>
      </w:r>
      <w:r w:rsidRPr="0090379D">
        <w:rPr>
          <w:sz w:val="16"/>
          <w:szCs w:val="16"/>
        </w:rPr>
        <w:tab/>
        <w:t xml:space="preserve">Program Engineer/Branch Manager: </w:t>
      </w:r>
      <w:r w:rsidRPr="0090379D">
        <w:rPr>
          <w:sz w:val="16"/>
          <w:szCs w:val="16"/>
        </w:rPr>
        <w:tab/>
        <w:t xml:space="preserve"> JAMES BEMELEN.</w:t>
      </w:r>
    </w:p>
    <w:p w:rsidR="00CB69FF" w:rsidRPr="0090379D" w:rsidRDefault="00CB69FF" w:rsidP="00CB69FF">
      <w:pPr>
        <w:pStyle w:val="PlainText"/>
        <w:rPr>
          <w:sz w:val="16"/>
          <w:szCs w:val="16"/>
        </w:rPr>
      </w:pPr>
      <w:r w:rsidRPr="0090379D">
        <w:rPr>
          <w:sz w:val="16"/>
          <w:szCs w:val="16"/>
        </w:rPr>
        <w:tab/>
      </w:r>
      <w:r w:rsidRPr="0090379D">
        <w:rPr>
          <w:sz w:val="16"/>
          <w:szCs w:val="16"/>
        </w:rPr>
        <w:tab/>
        <w:t xml:space="preserve">Resident Engineer/Section Head: </w:t>
      </w:r>
      <w:r w:rsidRPr="0090379D">
        <w:rPr>
          <w:sz w:val="16"/>
          <w:szCs w:val="16"/>
        </w:rPr>
        <w:tab/>
        <w:t xml:space="preserve"> PAUL JESAITIS.</w:t>
      </w:r>
    </w:p>
    <w:p w:rsidR="00CB69FF" w:rsidRPr="0090379D" w:rsidRDefault="00CB69FF" w:rsidP="00CB69FF">
      <w:pPr>
        <w:pStyle w:val="PlainText"/>
        <w:rPr>
          <w:sz w:val="16"/>
          <w:szCs w:val="16"/>
        </w:rPr>
      </w:pPr>
      <w:r w:rsidRPr="0090379D">
        <w:rPr>
          <w:sz w:val="16"/>
          <w:szCs w:val="16"/>
        </w:rPr>
        <w:tab/>
      </w:r>
      <w:r w:rsidRPr="0090379D">
        <w:rPr>
          <w:sz w:val="16"/>
          <w:szCs w:val="16"/>
        </w:rPr>
        <w:tab/>
        <w:t xml:space="preserve">Project Manager/Pre-Constr. Engineer: </w:t>
      </w:r>
      <w:r w:rsidRPr="0090379D">
        <w:rPr>
          <w:sz w:val="16"/>
          <w:szCs w:val="16"/>
        </w:rPr>
        <w:tab/>
        <w:t xml:space="preserve"> CYNTHIA BAILEY.</w:t>
      </w:r>
    </w:p>
    <w:p w:rsidR="00CB69FF" w:rsidRPr="0090379D" w:rsidRDefault="00CB69FF" w:rsidP="00CB69FF">
      <w:pPr>
        <w:pStyle w:val="PlainText"/>
        <w:rPr>
          <w:sz w:val="16"/>
          <w:szCs w:val="16"/>
        </w:rPr>
      </w:pPr>
      <w:r w:rsidRPr="0090379D">
        <w:rPr>
          <w:sz w:val="16"/>
          <w:szCs w:val="16"/>
        </w:rPr>
        <w:tab/>
      </w:r>
      <w:r w:rsidRPr="0090379D">
        <w:rPr>
          <w:sz w:val="16"/>
          <w:szCs w:val="16"/>
        </w:rPr>
        <w:tab/>
        <w:t xml:space="preserve">ProjectEngineer/Constr. Engineer: </w:t>
      </w:r>
      <w:r w:rsidRPr="0090379D">
        <w:rPr>
          <w:sz w:val="16"/>
          <w:szCs w:val="16"/>
        </w:rPr>
        <w:tab/>
        <w:t xml:space="preserve"> JAMES MARTIN.</w:t>
      </w:r>
    </w:p>
    <w:p w:rsidR="00CB69FF" w:rsidRPr="0090379D" w:rsidRDefault="00CB69FF" w:rsidP="00CB69FF">
      <w:pPr>
        <w:pStyle w:val="PlainText"/>
        <w:rPr>
          <w:sz w:val="16"/>
          <w:szCs w:val="16"/>
        </w:rPr>
      </w:pPr>
    </w:p>
    <w:p w:rsidR="00CB69FF" w:rsidRPr="0090379D" w:rsidRDefault="00CB69FF" w:rsidP="00CB69FF">
      <w:pPr>
        <w:pStyle w:val="PlainText"/>
        <w:rPr>
          <w:sz w:val="16"/>
          <w:szCs w:val="16"/>
        </w:rPr>
      </w:pPr>
      <w:r w:rsidRPr="0090379D">
        <w:rPr>
          <w:sz w:val="16"/>
          <w:szCs w:val="16"/>
        </w:rPr>
        <w:tab/>
      </w:r>
      <w:r w:rsidRPr="0090379D">
        <w:rPr>
          <w:sz w:val="16"/>
          <w:szCs w:val="16"/>
        </w:rPr>
        <w:tab/>
        <w:t>This is a system notification email. Do not reply to this email.</w:t>
      </w:r>
    </w:p>
    <w:p w:rsidR="00CB69FF" w:rsidRDefault="00CB69FF" w:rsidP="00CB69FF">
      <w:pPr>
        <w:pStyle w:val="PlainText"/>
      </w:pPr>
    </w:p>
    <w:p w:rsidR="00CB69FF" w:rsidRDefault="00CB69FF" w:rsidP="00126E93">
      <w:pPr>
        <w:numPr>
          <w:ilvl w:val="1"/>
          <w:numId w:val="3"/>
        </w:numPr>
        <w:tabs>
          <w:tab w:val="left" w:pos="720"/>
        </w:tabs>
        <w:ind w:left="720"/>
        <w:rPr>
          <w:rFonts w:ascii="Arial" w:hAnsi="Arial" w:cs="Arial"/>
          <w:bCs/>
          <w:sz w:val="22"/>
          <w:szCs w:val="22"/>
        </w:rPr>
      </w:pPr>
      <w:r>
        <w:rPr>
          <w:rFonts w:ascii="Arial" w:hAnsi="Arial" w:cs="Arial"/>
          <w:bCs/>
          <w:sz w:val="22"/>
          <w:szCs w:val="22"/>
        </w:rPr>
        <w:t xml:space="preserve">NOTE:  The SAP development team is currently developing a change to all workflows that would limit the size of the audience of Project Systems workflows.  For this workflow only the Resident Engineer and Finals Engineer responsible for the project would receive the Outlook email message. </w:t>
      </w:r>
    </w:p>
    <w:p w:rsidR="00CB69FF" w:rsidRDefault="00CB69FF" w:rsidP="00CB69FF">
      <w:pPr>
        <w:pStyle w:val="PlainText"/>
      </w:pPr>
    </w:p>
    <w:p w:rsidR="00CB69FF" w:rsidRPr="00126E93" w:rsidRDefault="00CB69FF" w:rsidP="00126E93">
      <w:pPr>
        <w:pStyle w:val="PlainText"/>
        <w:numPr>
          <w:ilvl w:val="0"/>
          <w:numId w:val="3"/>
        </w:numPr>
        <w:tabs>
          <w:tab w:val="left" w:pos="360"/>
        </w:tabs>
        <w:ind w:left="360"/>
        <w:rPr>
          <w:rFonts w:ascii="Arial" w:hAnsi="Arial" w:cs="Arial"/>
          <w:sz w:val="22"/>
          <w:szCs w:val="22"/>
        </w:rPr>
      </w:pPr>
      <w:r w:rsidRPr="00126E93">
        <w:rPr>
          <w:rFonts w:ascii="Arial" w:hAnsi="Arial" w:cs="Arial"/>
          <w:sz w:val="22"/>
          <w:szCs w:val="22"/>
        </w:rPr>
        <w:t>This completes the Form 1212 process</w:t>
      </w:r>
      <w:r w:rsidR="00126E93">
        <w:rPr>
          <w:rFonts w:ascii="Arial" w:hAnsi="Arial" w:cs="Arial"/>
          <w:sz w:val="22"/>
          <w:szCs w:val="22"/>
        </w:rPr>
        <w:t>.</w:t>
      </w:r>
      <w:r w:rsidRPr="00126E93">
        <w:rPr>
          <w:rFonts w:ascii="Arial" w:hAnsi="Arial" w:cs="Arial"/>
          <w:sz w:val="22"/>
          <w:szCs w:val="22"/>
        </w:rPr>
        <w:t xml:space="preserve"> </w:t>
      </w:r>
      <w:r w:rsidR="00126E93">
        <w:rPr>
          <w:rFonts w:ascii="Arial" w:hAnsi="Arial" w:cs="Arial"/>
          <w:sz w:val="22"/>
          <w:szCs w:val="22"/>
        </w:rPr>
        <w:t>T</w:t>
      </w:r>
      <w:r w:rsidRPr="00126E93">
        <w:rPr>
          <w:rFonts w:ascii="Arial" w:hAnsi="Arial" w:cs="Arial"/>
          <w:sz w:val="22"/>
          <w:szCs w:val="22"/>
        </w:rPr>
        <w:t>he project can be set to TECO and the business office can start project closure activities.</w:t>
      </w:r>
      <w:r w:rsidR="00AB47B3" w:rsidRPr="00126E93">
        <w:rPr>
          <w:rFonts w:ascii="Arial" w:hAnsi="Arial" w:cs="Arial"/>
          <w:sz w:val="22"/>
          <w:szCs w:val="22"/>
        </w:rPr>
        <w:t xml:space="preserve"> It is up to the Region who will set the project to TECO prior to closure. It is recommended that the Business office set the project to TECO after the project is de</w:t>
      </w:r>
      <w:r w:rsidR="00536076" w:rsidRPr="00126E93">
        <w:rPr>
          <w:rFonts w:ascii="Arial" w:hAnsi="Arial" w:cs="Arial"/>
          <w:sz w:val="22"/>
          <w:szCs w:val="22"/>
        </w:rPr>
        <w:t>-</w:t>
      </w:r>
      <w:r w:rsidR="00AB47B3" w:rsidRPr="00126E93">
        <w:rPr>
          <w:rFonts w:ascii="Arial" w:hAnsi="Arial" w:cs="Arial"/>
          <w:sz w:val="22"/>
          <w:szCs w:val="22"/>
        </w:rPr>
        <w:t>budgeted.</w:t>
      </w:r>
      <w:r w:rsidR="001174E2">
        <w:rPr>
          <w:rFonts w:ascii="Arial" w:hAnsi="Arial" w:cs="Arial"/>
          <w:sz w:val="22"/>
          <w:szCs w:val="22"/>
        </w:rPr>
        <w:t xml:space="preserve"> The project will have to be set to TECO prior to project closure. Setting the project to TECO will no longer start the 1212 workflow.</w:t>
      </w:r>
    </w:p>
    <w:p w:rsidR="00CB69FF" w:rsidRDefault="00CB69FF" w:rsidP="00CB69FF">
      <w:pPr>
        <w:rPr>
          <w:rFonts w:ascii="Arial" w:hAnsi="Arial" w:cs="Arial"/>
          <w:bCs/>
          <w:sz w:val="22"/>
          <w:szCs w:val="22"/>
        </w:rPr>
      </w:pPr>
    </w:p>
    <w:p w:rsidR="00CB69FF" w:rsidRPr="00126E93" w:rsidRDefault="00CB69FF" w:rsidP="00AB47B3">
      <w:pPr>
        <w:ind w:left="360"/>
        <w:rPr>
          <w:rFonts w:ascii="Arial" w:hAnsi="Arial" w:cs="Arial"/>
          <w:bCs/>
          <w:sz w:val="22"/>
          <w:szCs w:val="22"/>
        </w:rPr>
      </w:pPr>
      <w:r w:rsidRPr="00126E93">
        <w:rPr>
          <w:rFonts w:ascii="Arial" w:hAnsi="Arial" w:cs="Arial"/>
          <w:bCs/>
          <w:sz w:val="22"/>
          <w:szCs w:val="22"/>
        </w:rPr>
        <w:t xml:space="preserve">For projects that do not require the Form 1212 to be completed, the workflow can be bypassed and </w:t>
      </w:r>
      <w:r w:rsidR="004D423F">
        <w:rPr>
          <w:rFonts w:ascii="Arial" w:hAnsi="Arial" w:cs="Arial"/>
          <w:bCs/>
          <w:sz w:val="22"/>
          <w:szCs w:val="22"/>
        </w:rPr>
        <w:t xml:space="preserve">the </w:t>
      </w:r>
      <w:r w:rsidRPr="00126E93">
        <w:rPr>
          <w:rFonts w:ascii="Arial" w:hAnsi="Arial" w:cs="Arial"/>
          <w:bCs/>
          <w:sz w:val="22"/>
          <w:szCs w:val="22"/>
        </w:rPr>
        <w:t xml:space="preserve">business office can start project closure activities. These types of projects include design-only projects, property projects, DTD projects, </w:t>
      </w:r>
      <w:r w:rsidR="00704392" w:rsidRPr="00126E93">
        <w:rPr>
          <w:rFonts w:ascii="Arial" w:hAnsi="Arial" w:cs="Arial"/>
          <w:bCs/>
          <w:sz w:val="22"/>
          <w:szCs w:val="22"/>
        </w:rPr>
        <w:t>m</w:t>
      </w:r>
      <w:r w:rsidRPr="00126E93">
        <w:rPr>
          <w:rFonts w:ascii="Arial" w:hAnsi="Arial" w:cs="Arial"/>
          <w:bCs/>
          <w:sz w:val="22"/>
          <w:szCs w:val="22"/>
        </w:rPr>
        <w:t>aintenance projects, withdrawn projects</w:t>
      </w:r>
      <w:r w:rsidR="00126E93">
        <w:rPr>
          <w:rFonts w:ascii="Arial" w:hAnsi="Arial" w:cs="Arial"/>
          <w:bCs/>
          <w:sz w:val="22"/>
          <w:szCs w:val="22"/>
        </w:rPr>
        <w:t>,</w:t>
      </w:r>
      <w:r w:rsidRPr="00126E93">
        <w:rPr>
          <w:rFonts w:ascii="Arial" w:hAnsi="Arial" w:cs="Arial"/>
          <w:bCs/>
          <w:sz w:val="22"/>
          <w:szCs w:val="22"/>
        </w:rPr>
        <w:t xml:space="preserve"> or any other projects that do not have a Construction phase. </w:t>
      </w:r>
    </w:p>
    <w:p w:rsidR="00CB69FF" w:rsidRDefault="00CB69FF" w:rsidP="00CB69FF">
      <w:pPr>
        <w:pStyle w:val="ListParagraph"/>
        <w:rPr>
          <w:rFonts w:ascii="Arial" w:hAnsi="Arial" w:cs="Arial"/>
          <w:bCs/>
          <w:sz w:val="22"/>
          <w:szCs w:val="22"/>
        </w:rPr>
      </w:pPr>
    </w:p>
    <w:p w:rsidR="00CB69FF" w:rsidRDefault="00CB69FF" w:rsidP="00126E93">
      <w:pPr>
        <w:numPr>
          <w:ilvl w:val="1"/>
          <w:numId w:val="3"/>
        </w:numPr>
        <w:tabs>
          <w:tab w:val="left" w:pos="720"/>
        </w:tabs>
        <w:ind w:left="720"/>
        <w:rPr>
          <w:rFonts w:ascii="Arial" w:hAnsi="Arial" w:cs="Arial"/>
          <w:bCs/>
          <w:sz w:val="22"/>
          <w:szCs w:val="22"/>
        </w:rPr>
      </w:pPr>
      <w:r>
        <w:rPr>
          <w:rFonts w:ascii="Arial" w:hAnsi="Arial" w:cs="Arial"/>
          <w:bCs/>
          <w:sz w:val="22"/>
          <w:szCs w:val="22"/>
        </w:rPr>
        <w:t>For these projects, the Business Manager or designee can mark the Form 1212 status in CJ20N for the project</w:t>
      </w:r>
      <w:r w:rsidR="0090379D">
        <w:rPr>
          <w:rFonts w:ascii="Arial" w:hAnsi="Arial" w:cs="Arial"/>
          <w:bCs/>
          <w:sz w:val="22"/>
          <w:szCs w:val="22"/>
        </w:rPr>
        <w:t xml:space="preserve"> and save the project</w:t>
      </w:r>
      <w:r>
        <w:rPr>
          <w:rFonts w:ascii="Arial" w:hAnsi="Arial" w:cs="Arial"/>
          <w:bCs/>
          <w:sz w:val="22"/>
          <w:szCs w:val="22"/>
        </w:rPr>
        <w:t>.  Once this status is set, the business office can set the TECO status and begin project closure activities and the Form 950 workflow.  Please refer to the screen shot</w:t>
      </w:r>
      <w:r w:rsidR="0016353A">
        <w:rPr>
          <w:rFonts w:ascii="Arial" w:hAnsi="Arial" w:cs="Arial"/>
          <w:bCs/>
          <w:sz w:val="22"/>
          <w:szCs w:val="22"/>
        </w:rPr>
        <w:t>s</w:t>
      </w:r>
      <w:r>
        <w:rPr>
          <w:rFonts w:ascii="Arial" w:hAnsi="Arial" w:cs="Arial"/>
          <w:bCs/>
          <w:sz w:val="22"/>
          <w:szCs w:val="22"/>
        </w:rPr>
        <w:t xml:space="preserve"> below:</w:t>
      </w:r>
    </w:p>
    <w:p w:rsidR="00126E93" w:rsidRDefault="00126E93" w:rsidP="00126E93">
      <w:pPr>
        <w:tabs>
          <w:tab w:val="left" w:pos="720"/>
        </w:tabs>
        <w:ind w:left="360"/>
        <w:rPr>
          <w:rFonts w:ascii="Arial" w:hAnsi="Arial" w:cs="Arial"/>
          <w:bCs/>
          <w:sz w:val="22"/>
          <w:szCs w:val="22"/>
        </w:rPr>
      </w:pPr>
    </w:p>
    <w:p w:rsidR="0016353A" w:rsidRDefault="00BF7F7E" w:rsidP="0016353A">
      <w:pPr>
        <w:ind w:left="1080"/>
        <w:rPr>
          <w:rFonts w:ascii="Arial" w:hAnsi="Arial" w:cs="Arial"/>
          <w:bCs/>
          <w:sz w:val="22"/>
          <w:szCs w:val="22"/>
        </w:rPr>
      </w:pPr>
      <w:r>
        <w:rPr>
          <w:rFonts w:ascii="Arial" w:hAnsi="Arial" w:cs="Arial"/>
          <w:noProof/>
          <w:sz w:val="22"/>
          <w:szCs w:val="22"/>
        </w:rPr>
        <w:drawing>
          <wp:inline distT="0" distB="0" distL="0" distR="0">
            <wp:extent cx="3915410" cy="914400"/>
            <wp:effectExtent l="19050" t="0" r="889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3915410" cy="914400"/>
                    </a:xfrm>
                    <a:prstGeom prst="rect">
                      <a:avLst/>
                    </a:prstGeom>
                    <a:noFill/>
                    <a:ln w="9525">
                      <a:noFill/>
                      <a:miter lim="800000"/>
                      <a:headEnd/>
                      <a:tailEnd/>
                    </a:ln>
                  </pic:spPr>
                </pic:pic>
              </a:graphicData>
            </a:graphic>
          </wp:inline>
        </w:drawing>
      </w:r>
    </w:p>
    <w:p w:rsidR="00126E93" w:rsidRDefault="00126E93" w:rsidP="00126E93">
      <w:pPr>
        <w:ind w:left="720"/>
        <w:rPr>
          <w:rFonts w:ascii="Arial" w:hAnsi="Arial" w:cs="Arial"/>
          <w:bCs/>
          <w:sz w:val="22"/>
          <w:szCs w:val="22"/>
        </w:rPr>
      </w:pPr>
    </w:p>
    <w:p w:rsidR="0016353A" w:rsidRDefault="0016353A" w:rsidP="00126E93">
      <w:pPr>
        <w:ind w:left="720"/>
        <w:rPr>
          <w:rFonts w:ascii="Arial" w:hAnsi="Arial" w:cs="Arial"/>
          <w:bCs/>
          <w:sz w:val="22"/>
          <w:szCs w:val="22"/>
        </w:rPr>
      </w:pPr>
      <w:r>
        <w:rPr>
          <w:rFonts w:ascii="Arial" w:hAnsi="Arial" w:cs="Arial"/>
          <w:bCs/>
          <w:sz w:val="22"/>
          <w:szCs w:val="22"/>
        </w:rPr>
        <w:t>Hit the blue “I” button at the top level of the project. Then the following screen will appear.</w:t>
      </w:r>
    </w:p>
    <w:p w:rsidR="00126E93" w:rsidRDefault="00126E93" w:rsidP="00126E93">
      <w:pPr>
        <w:ind w:left="720"/>
        <w:rPr>
          <w:rFonts w:ascii="Arial" w:hAnsi="Arial" w:cs="Arial"/>
          <w:bCs/>
          <w:sz w:val="22"/>
          <w:szCs w:val="22"/>
        </w:rPr>
      </w:pPr>
    </w:p>
    <w:p w:rsidR="0090379D" w:rsidRDefault="00BF7F7E" w:rsidP="0090379D">
      <w:pPr>
        <w:ind w:left="1440"/>
        <w:rPr>
          <w:rFonts w:ascii="Arial" w:hAnsi="Arial" w:cs="Arial"/>
          <w:bCs/>
          <w:sz w:val="22"/>
          <w:szCs w:val="22"/>
        </w:rPr>
      </w:pPr>
      <w:r>
        <w:rPr>
          <w:rFonts w:ascii="Arial" w:hAnsi="Arial" w:cs="Arial"/>
          <w:noProof/>
          <w:sz w:val="22"/>
          <w:szCs w:val="22"/>
        </w:rPr>
        <w:drawing>
          <wp:inline distT="0" distB="0" distL="0" distR="0">
            <wp:extent cx="2875915" cy="1633220"/>
            <wp:effectExtent l="19050" t="0" r="63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875915" cy="1633220"/>
                    </a:xfrm>
                    <a:prstGeom prst="rect">
                      <a:avLst/>
                    </a:prstGeom>
                    <a:noFill/>
                    <a:ln w="9525">
                      <a:noFill/>
                      <a:miter lim="800000"/>
                      <a:headEnd/>
                      <a:tailEnd/>
                    </a:ln>
                  </pic:spPr>
                </pic:pic>
              </a:graphicData>
            </a:graphic>
          </wp:inline>
        </w:drawing>
      </w:r>
    </w:p>
    <w:p w:rsidR="003059DD" w:rsidRDefault="003059DD" w:rsidP="0090379D">
      <w:pPr>
        <w:ind w:left="720"/>
        <w:rPr>
          <w:rFonts w:ascii="Arial" w:hAnsi="Arial" w:cs="Arial"/>
          <w:b/>
          <w:bCs/>
          <w:sz w:val="22"/>
          <w:szCs w:val="22"/>
        </w:rPr>
      </w:pPr>
    </w:p>
    <w:p w:rsidR="0016353A" w:rsidRDefault="0016353A" w:rsidP="00126E93">
      <w:pPr>
        <w:rPr>
          <w:rFonts w:ascii="Arial" w:hAnsi="Arial" w:cs="Arial"/>
          <w:b/>
          <w:bCs/>
          <w:sz w:val="22"/>
          <w:szCs w:val="22"/>
          <w:u w:val="single"/>
        </w:rPr>
      </w:pPr>
      <w:r w:rsidRPr="00126E93">
        <w:rPr>
          <w:rFonts w:ascii="Arial" w:hAnsi="Arial" w:cs="Arial"/>
          <w:b/>
          <w:bCs/>
          <w:sz w:val="22"/>
          <w:szCs w:val="22"/>
          <w:u w:val="single"/>
        </w:rPr>
        <w:t xml:space="preserve">Frequently </w:t>
      </w:r>
      <w:r w:rsidR="00126E93" w:rsidRPr="00126E93">
        <w:rPr>
          <w:rFonts w:ascii="Arial" w:hAnsi="Arial" w:cs="Arial"/>
          <w:b/>
          <w:bCs/>
          <w:sz w:val="22"/>
          <w:szCs w:val="22"/>
          <w:u w:val="single"/>
        </w:rPr>
        <w:t xml:space="preserve">Asked </w:t>
      </w:r>
      <w:r w:rsidRPr="00126E93">
        <w:rPr>
          <w:rFonts w:ascii="Arial" w:hAnsi="Arial" w:cs="Arial"/>
          <w:b/>
          <w:bCs/>
          <w:sz w:val="22"/>
          <w:szCs w:val="22"/>
          <w:u w:val="single"/>
        </w:rPr>
        <w:t>Questions</w:t>
      </w:r>
      <w:r w:rsidR="00126E93" w:rsidRPr="00126E93">
        <w:rPr>
          <w:rFonts w:ascii="Arial" w:hAnsi="Arial" w:cs="Arial"/>
          <w:b/>
          <w:bCs/>
          <w:sz w:val="22"/>
          <w:szCs w:val="22"/>
          <w:u w:val="single"/>
        </w:rPr>
        <w:t>:</w:t>
      </w:r>
    </w:p>
    <w:p w:rsidR="00126E93" w:rsidRPr="00126E93" w:rsidRDefault="00126E93" w:rsidP="00126E93">
      <w:pPr>
        <w:rPr>
          <w:rFonts w:ascii="Arial" w:hAnsi="Arial" w:cs="Arial"/>
          <w:b/>
          <w:bCs/>
          <w:sz w:val="22"/>
          <w:szCs w:val="22"/>
          <w:u w:val="single"/>
        </w:rPr>
      </w:pPr>
    </w:p>
    <w:p w:rsidR="0016353A" w:rsidRPr="00126E93" w:rsidRDefault="0016353A" w:rsidP="00126E93">
      <w:pPr>
        <w:ind w:left="360"/>
        <w:rPr>
          <w:rFonts w:ascii="Arial" w:hAnsi="Arial" w:cs="Arial"/>
          <w:b/>
          <w:bCs/>
          <w:sz w:val="22"/>
          <w:szCs w:val="22"/>
        </w:rPr>
      </w:pPr>
      <w:r w:rsidRPr="00126E93">
        <w:rPr>
          <w:rFonts w:ascii="Arial" w:hAnsi="Arial" w:cs="Arial"/>
          <w:b/>
          <w:bCs/>
          <w:sz w:val="22"/>
          <w:szCs w:val="22"/>
        </w:rPr>
        <w:t xml:space="preserve">What </w:t>
      </w:r>
      <w:r w:rsidR="00E51337">
        <w:rPr>
          <w:rFonts w:ascii="Arial" w:hAnsi="Arial" w:cs="Arial"/>
          <w:b/>
          <w:bCs/>
          <w:sz w:val="22"/>
          <w:szCs w:val="22"/>
        </w:rPr>
        <w:t xml:space="preserve">do I do </w:t>
      </w:r>
      <w:r w:rsidRPr="00126E93">
        <w:rPr>
          <w:rFonts w:ascii="Arial" w:hAnsi="Arial" w:cs="Arial"/>
          <w:b/>
          <w:bCs/>
          <w:sz w:val="22"/>
          <w:szCs w:val="22"/>
        </w:rPr>
        <w:t>if I lost the Form 1212 workflow?</w:t>
      </w:r>
    </w:p>
    <w:p w:rsidR="00E51337" w:rsidRDefault="00E51337" w:rsidP="00126E93">
      <w:pPr>
        <w:ind w:left="360"/>
        <w:rPr>
          <w:rFonts w:ascii="Arial" w:hAnsi="Arial" w:cs="Arial"/>
          <w:bCs/>
          <w:sz w:val="22"/>
          <w:szCs w:val="22"/>
        </w:rPr>
      </w:pPr>
    </w:p>
    <w:p w:rsidR="003059DD" w:rsidRDefault="003059DD" w:rsidP="00126E93">
      <w:pPr>
        <w:ind w:left="360"/>
        <w:rPr>
          <w:rFonts w:ascii="Arial" w:hAnsi="Arial" w:cs="Arial"/>
          <w:bCs/>
          <w:sz w:val="22"/>
          <w:szCs w:val="22"/>
        </w:rPr>
      </w:pPr>
      <w:r w:rsidRPr="003059DD">
        <w:rPr>
          <w:rFonts w:ascii="Arial" w:hAnsi="Arial" w:cs="Arial"/>
          <w:bCs/>
          <w:sz w:val="22"/>
          <w:szCs w:val="22"/>
        </w:rPr>
        <w:t xml:space="preserve">There is now a workflow report available that will allow anyone to see where any workflow is located. It may be </w:t>
      </w:r>
      <w:r w:rsidR="00E51337">
        <w:rPr>
          <w:rFonts w:ascii="Arial" w:hAnsi="Arial" w:cs="Arial"/>
          <w:bCs/>
          <w:sz w:val="22"/>
          <w:szCs w:val="22"/>
        </w:rPr>
        <w:t xml:space="preserve">in </w:t>
      </w:r>
      <w:r w:rsidRPr="003059DD">
        <w:rPr>
          <w:rFonts w:ascii="Arial" w:hAnsi="Arial" w:cs="Arial"/>
          <w:bCs/>
          <w:sz w:val="22"/>
          <w:szCs w:val="22"/>
        </w:rPr>
        <w:t>another RE’s SAP workplace and this report will indicate the location. The report is located in the Portal under the Report tab</w:t>
      </w:r>
      <w:r>
        <w:rPr>
          <w:rFonts w:ascii="Arial" w:hAnsi="Arial" w:cs="Arial"/>
          <w:bCs/>
          <w:sz w:val="22"/>
          <w:szCs w:val="22"/>
        </w:rPr>
        <w:t>, then under Project Systems. If help is needed with the report, contact your region Super User or the SAP Project Systems support team.</w:t>
      </w:r>
    </w:p>
    <w:p w:rsidR="00E51337" w:rsidRPr="003059DD" w:rsidRDefault="00E51337" w:rsidP="00126E93">
      <w:pPr>
        <w:ind w:left="360"/>
        <w:rPr>
          <w:rFonts w:ascii="Arial" w:hAnsi="Arial" w:cs="Arial"/>
          <w:bCs/>
          <w:sz w:val="22"/>
          <w:szCs w:val="22"/>
        </w:rPr>
      </w:pPr>
    </w:p>
    <w:p w:rsidR="004520EC" w:rsidRPr="00E51337" w:rsidRDefault="0016353A" w:rsidP="00126E93">
      <w:pPr>
        <w:ind w:left="360"/>
        <w:rPr>
          <w:rFonts w:ascii="Arial" w:hAnsi="Arial" w:cs="Arial"/>
          <w:b/>
          <w:bCs/>
          <w:sz w:val="22"/>
          <w:szCs w:val="22"/>
        </w:rPr>
      </w:pPr>
      <w:r w:rsidRPr="00E51337">
        <w:rPr>
          <w:rFonts w:ascii="Arial" w:hAnsi="Arial" w:cs="Arial"/>
          <w:b/>
          <w:bCs/>
          <w:sz w:val="22"/>
          <w:szCs w:val="22"/>
        </w:rPr>
        <w:t xml:space="preserve">What </w:t>
      </w:r>
      <w:r w:rsidR="00E51337" w:rsidRPr="00E51337">
        <w:rPr>
          <w:rFonts w:ascii="Arial" w:hAnsi="Arial" w:cs="Arial"/>
          <w:b/>
          <w:bCs/>
          <w:sz w:val="22"/>
          <w:szCs w:val="22"/>
        </w:rPr>
        <w:t xml:space="preserve">do I do </w:t>
      </w:r>
      <w:r w:rsidRPr="00E51337">
        <w:rPr>
          <w:rFonts w:ascii="Arial" w:hAnsi="Arial" w:cs="Arial"/>
          <w:b/>
          <w:bCs/>
          <w:sz w:val="22"/>
          <w:szCs w:val="22"/>
        </w:rPr>
        <w:t>if I want to run the Form 1212 workflow again?</w:t>
      </w:r>
    </w:p>
    <w:p w:rsidR="00E51337" w:rsidRDefault="00E51337" w:rsidP="00126E93">
      <w:pPr>
        <w:ind w:left="360"/>
        <w:rPr>
          <w:rFonts w:ascii="Arial" w:hAnsi="Arial" w:cs="Arial"/>
          <w:bCs/>
          <w:sz w:val="22"/>
          <w:szCs w:val="22"/>
        </w:rPr>
      </w:pPr>
    </w:p>
    <w:p w:rsidR="003059DD" w:rsidRDefault="003059DD" w:rsidP="00126E93">
      <w:pPr>
        <w:ind w:left="360"/>
        <w:rPr>
          <w:rFonts w:ascii="Arial" w:hAnsi="Arial" w:cs="Arial"/>
          <w:bCs/>
          <w:sz w:val="22"/>
          <w:szCs w:val="22"/>
        </w:rPr>
      </w:pPr>
      <w:r w:rsidRPr="003059DD">
        <w:rPr>
          <w:rFonts w:ascii="Arial" w:hAnsi="Arial" w:cs="Arial"/>
          <w:bCs/>
          <w:sz w:val="22"/>
          <w:szCs w:val="22"/>
        </w:rPr>
        <w:t xml:space="preserve">There is no way in the system to easily re-run a Form 1212 workflow that has already been completed. If the Form 1212 that was created is needed or if the workflow needs to be restarted, the SAP Project systems support team will need to be contacted. </w:t>
      </w:r>
      <w:r w:rsidR="001174E2">
        <w:rPr>
          <w:rFonts w:ascii="Arial" w:hAnsi="Arial" w:cs="Arial"/>
          <w:bCs/>
          <w:sz w:val="22"/>
          <w:szCs w:val="22"/>
        </w:rPr>
        <w:t>Please contact the SAP Project Systems Business process experts who are currently T</w:t>
      </w:r>
      <w:r w:rsidRPr="003059DD">
        <w:rPr>
          <w:rFonts w:ascii="Arial" w:hAnsi="Arial" w:cs="Arial"/>
          <w:bCs/>
          <w:sz w:val="22"/>
          <w:szCs w:val="22"/>
        </w:rPr>
        <w:t>ony Bemelen and Darius Pakbaz</w:t>
      </w:r>
      <w:r w:rsidR="001174E2">
        <w:rPr>
          <w:rFonts w:ascii="Arial" w:hAnsi="Arial" w:cs="Arial"/>
          <w:bCs/>
          <w:sz w:val="22"/>
          <w:szCs w:val="22"/>
        </w:rPr>
        <w:t>.</w:t>
      </w:r>
      <w:r w:rsidRPr="003059DD">
        <w:rPr>
          <w:rFonts w:ascii="Arial" w:hAnsi="Arial" w:cs="Arial"/>
          <w:bCs/>
          <w:sz w:val="22"/>
          <w:szCs w:val="22"/>
        </w:rPr>
        <w:t xml:space="preserve"> </w:t>
      </w:r>
    </w:p>
    <w:p w:rsidR="003059DD" w:rsidRPr="003059DD" w:rsidRDefault="003059DD" w:rsidP="00126E93">
      <w:pPr>
        <w:ind w:left="360"/>
        <w:rPr>
          <w:rFonts w:ascii="Arial" w:hAnsi="Arial" w:cs="Arial"/>
          <w:bCs/>
          <w:sz w:val="22"/>
          <w:szCs w:val="22"/>
        </w:rPr>
      </w:pPr>
    </w:p>
    <w:p w:rsidR="006467C5" w:rsidRPr="00E51337" w:rsidRDefault="006467C5" w:rsidP="00126E93">
      <w:pPr>
        <w:ind w:left="360"/>
        <w:rPr>
          <w:rFonts w:ascii="Arial" w:hAnsi="Arial" w:cs="Arial"/>
          <w:b/>
          <w:bCs/>
          <w:sz w:val="22"/>
          <w:szCs w:val="22"/>
        </w:rPr>
      </w:pPr>
      <w:r w:rsidRPr="00E51337">
        <w:rPr>
          <w:rFonts w:ascii="Arial" w:hAnsi="Arial" w:cs="Arial"/>
          <w:b/>
          <w:bCs/>
          <w:sz w:val="22"/>
          <w:szCs w:val="22"/>
        </w:rPr>
        <w:t xml:space="preserve">Why do I need to do the Form 1212 in SAP when there is a form for it? </w:t>
      </w:r>
    </w:p>
    <w:p w:rsidR="00E51337" w:rsidRDefault="00E51337" w:rsidP="00126E93">
      <w:pPr>
        <w:ind w:left="360"/>
        <w:rPr>
          <w:rFonts w:ascii="Arial" w:hAnsi="Arial" w:cs="Arial"/>
          <w:bCs/>
          <w:sz w:val="22"/>
          <w:szCs w:val="22"/>
        </w:rPr>
      </w:pPr>
    </w:p>
    <w:p w:rsidR="0090379D" w:rsidRDefault="003059DD" w:rsidP="00126E93">
      <w:pPr>
        <w:ind w:left="360"/>
        <w:rPr>
          <w:rFonts w:ascii="Arial" w:hAnsi="Arial" w:cs="Arial"/>
          <w:bCs/>
          <w:sz w:val="22"/>
          <w:szCs w:val="22"/>
        </w:rPr>
      </w:pPr>
      <w:r w:rsidRPr="003059DD">
        <w:rPr>
          <w:rFonts w:ascii="Arial" w:hAnsi="Arial" w:cs="Arial"/>
          <w:bCs/>
          <w:sz w:val="22"/>
          <w:szCs w:val="22"/>
        </w:rPr>
        <w:t xml:space="preserve">The information pulled from SAP for the Form 1212 will be consistent for all projects. It also assures that the Form 1212 was completed for a project that was constructed. </w:t>
      </w:r>
    </w:p>
    <w:p w:rsidR="003059DD" w:rsidRPr="003059DD" w:rsidRDefault="003059DD">
      <w:pPr>
        <w:ind w:left="720"/>
        <w:rPr>
          <w:rFonts w:ascii="Arial" w:hAnsi="Arial" w:cs="Arial"/>
          <w:bCs/>
          <w:sz w:val="22"/>
          <w:szCs w:val="22"/>
        </w:rPr>
      </w:pPr>
    </w:p>
    <w:p w:rsidR="003059DD" w:rsidRDefault="003059DD" w:rsidP="00E51337">
      <w:pPr>
        <w:rPr>
          <w:rFonts w:ascii="Arial" w:hAnsi="Arial" w:cs="Arial"/>
          <w:bCs/>
          <w:sz w:val="22"/>
          <w:szCs w:val="22"/>
        </w:rPr>
      </w:pPr>
      <w:r w:rsidRPr="003059DD">
        <w:rPr>
          <w:rFonts w:ascii="Arial" w:hAnsi="Arial" w:cs="Arial"/>
          <w:bCs/>
          <w:sz w:val="22"/>
          <w:szCs w:val="22"/>
        </w:rPr>
        <w:t xml:space="preserve">Any questions regarding this process can be referred to your local power user, regional super user or the SAP Project Systems support team at CDOT Headquarters. </w:t>
      </w:r>
    </w:p>
    <w:p w:rsidR="003059DD" w:rsidRDefault="003059DD" w:rsidP="003059DD">
      <w:pPr>
        <w:ind w:left="720"/>
        <w:rPr>
          <w:rFonts w:ascii="Arial" w:hAnsi="Arial" w:cs="Arial"/>
          <w:bCs/>
          <w:sz w:val="22"/>
          <w:szCs w:val="22"/>
        </w:rPr>
      </w:pPr>
    </w:p>
    <w:p w:rsidR="003059DD" w:rsidRDefault="003059DD" w:rsidP="003059DD">
      <w:pPr>
        <w:ind w:left="720"/>
        <w:rPr>
          <w:rFonts w:ascii="Arial" w:hAnsi="Arial" w:cs="Arial"/>
          <w:bCs/>
          <w:sz w:val="22"/>
          <w:szCs w:val="22"/>
        </w:rPr>
      </w:pPr>
      <w:r>
        <w:rPr>
          <w:rFonts w:ascii="Arial" w:hAnsi="Arial" w:cs="Arial"/>
          <w:bCs/>
          <w:sz w:val="22"/>
          <w:szCs w:val="22"/>
        </w:rPr>
        <w:t>Contact:</w:t>
      </w:r>
    </w:p>
    <w:p w:rsidR="003059DD" w:rsidRDefault="003059DD" w:rsidP="003059DD">
      <w:pPr>
        <w:ind w:left="720"/>
        <w:rPr>
          <w:rFonts w:ascii="Arial" w:hAnsi="Arial" w:cs="Arial"/>
          <w:bCs/>
          <w:sz w:val="22"/>
          <w:szCs w:val="22"/>
        </w:rPr>
      </w:pPr>
    </w:p>
    <w:p w:rsidR="003059DD" w:rsidRPr="003059DD" w:rsidRDefault="003059DD" w:rsidP="003059DD">
      <w:pPr>
        <w:ind w:left="720"/>
        <w:rPr>
          <w:rFonts w:ascii="Arial" w:hAnsi="Arial" w:cs="Arial"/>
          <w:bCs/>
          <w:sz w:val="22"/>
          <w:szCs w:val="22"/>
        </w:rPr>
      </w:pPr>
      <w:r>
        <w:rPr>
          <w:rFonts w:ascii="Arial" w:hAnsi="Arial" w:cs="Arial"/>
          <w:bCs/>
          <w:sz w:val="22"/>
          <w:szCs w:val="22"/>
        </w:rPr>
        <w:t>Darius Pakbaz, Project Systems BPX</w:t>
      </w:r>
    </w:p>
    <w:p w:rsidR="003059DD" w:rsidRPr="003059DD" w:rsidRDefault="003059DD">
      <w:pPr>
        <w:ind w:left="720"/>
        <w:rPr>
          <w:rFonts w:ascii="Arial" w:hAnsi="Arial" w:cs="Arial"/>
          <w:bCs/>
          <w:sz w:val="22"/>
          <w:szCs w:val="22"/>
        </w:rPr>
      </w:pPr>
    </w:p>
    <w:sectPr w:rsidR="003059DD" w:rsidRPr="003059DD" w:rsidSect="00F71829">
      <w:headerReference w:type="even" r:id="rId20"/>
      <w:headerReference w:type="default" r:id="rId21"/>
      <w:footerReference w:type="even" r:id="rId22"/>
      <w:footerReference w:type="default" r:id="rId23"/>
      <w:headerReference w:type="first" r:id="rId24"/>
      <w:footerReference w:type="first" r:id="rId25"/>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A48" w:rsidRDefault="00357A48">
      <w:r>
        <w:separator/>
      </w:r>
    </w:p>
  </w:endnote>
  <w:endnote w:type="continuationSeparator" w:id="0">
    <w:p w:rsidR="00357A48" w:rsidRDefault="0035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97" w:rsidRDefault="008653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97" w:rsidRDefault="008653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97" w:rsidRDefault="00865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A48" w:rsidRDefault="00357A48">
      <w:r>
        <w:separator/>
      </w:r>
    </w:p>
  </w:footnote>
  <w:footnote w:type="continuationSeparator" w:id="0">
    <w:p w:rsidR="00357A48" w:rsidRDefault="0035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97" w:rsidRDefault="008653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3168"/>
      <w:gridCol w:w="2430"/>
      <w:gridCol w:w="4698"/>
    </w:tblGrid>
    <w:tr w:rsidR="008A3849" w:rsidTr="00350552">
      <w:tc>
        <w:tcPr>
          <w:tcW w:w="3168" w:type="dxa"/>
          <w:vAlign w:val="center"/>
        </w:tcPr>
        <w:p w:rsidR="008A3849" w:rsidRDefault="008A3849" w:rsidP="00AF44E2">
          <w:pPr>
            <w:jc w:val="center"/>
          </w:pPr>
          <w:r w:rsidRPr="00AF44E2">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45.65pt" o:ole="" fillcolor="window">
                <v:imagedata r:id="rId1" o:title=""/>
              </v:shape>
              <o:OLEObject Type="Embed" ProgID="Word.Picture.8" ShapeID="_x0000_i1025" DrawAspect="Content" ObjectID="_1346826966" r:id="rId2"/>
            </w:object>
          </w:r>
        </w:p>
      </w:tc>
      <w:tc>
        <w:tcPr>
          <w:tcW w:w="7128" w:type="dxa"/>
          <w:gridSpan w:val="2"/>
          <w:vAlign w:val="center"/>
        </w:tcPr>
        <w:p w:rsidR="008A3849" w:rsidRDefault="008A3849" w:rsidP="00AF44E2">
          <w:pPr>
            <w:jc w:val="center"/>
          </w:pPr>
          <w:r w:rsidRPr="00AF44E2">
            <w:rPr>
              <w:rFonts w:ascii="Impact" w:hAnsi="Impact"/>
              <w:sz w:val="69"/>
              <w:szCs w:val="69"/>
            </w:rPr>
            <w:t>CONSTRUCTION BULLETIN</w:t>
          </w:r>
        </w:p>
      </w:tc>
    </w:tr>
    <w:tr w:rsidR="008A3849" w:rsidTr="00B57C04">
      <w:trPr>
        <w:cantSplit/>
        <w:trHeight w:val="144"/>
      </w:trPr>
      <w:tc>
        <w:tcPr>
          <w:tcW w:w="10296" w:type="dxa"/>
          <w:gridSpan w:val="3"/>
        </w:tcPr>
        <w:p w:rsidR="008A3849" w:rsidRDefault="008A3849" w:rsidP="00F71829"/>
      </w:tc>
    </w:tr>
    <w:tr w:rsidR="008A3849" w:rsidRPr="00AF44E2" w:rsidTr="001827E1">
      <w:trPr>
        <w:cantSplit/>
        <w:trHeight w:val="288"/>
      </w:trPr>
      <w:tc>
        <w:tcPr>
          <w:tcW w:w="5598" w:type="dxa"/>
          <w:gridSpan w:val="2"/>
          <w:vAlign w:val="center"/>
        </w:tcPr>
        <w:p w:rsidR="008A3849" w:rsidRPr="00AF44E2" w:rsidRDefault="008A3849" w:rsidP="003957C4">
          <w:pPr>
            <w:rPr>
              <w:rFonts w:ascii="Arial" w:hAnsi="Arial" w:cs="Arial"/>
              <w:b/>
            </w:rPr>
          </w:pPr>
          <w:r w:rsidRPr="00AF44E2">
            <w:rPr>
              <w:rFonts w:ascii="Arial" w:hAnsi="Arial" w:cs="Arial"/>
              <w:b/>
              <w:sz w:val="23"/>
              <w:szCs w:val="23"/>
            </w:rPr>
            <w:t>Colorado Department of Transportation</w:t>
          </w:r>
        </w:p>
      </w:tc>
      <w:tc>
        <w:tcPr>
          <w:tcW w:w="4698" w:type="dxa"/>
          <w:vAlign w:val="center"/>
        </w:tcPr>
        <w:p w:rsidR="008A3849" w:rsidRPr="00AF44E2" w:rsidRDefault="008A3849" w:rsidP="003957C4">
          <w:pPr>
            <w:rPr>
              <w:rFonts w:ascii="Arial" w:hAnsi="Arial" w:cs="Arial"/>
              <w:b/>
              <w:sz w:val="23"/>
              <w:szCs w:val="23"/>
            </w:rPr>
          </w:pPr>
          <w:r>
            <w:rPr>
              <w:rFonts w:ascii="Arial" w:hAnsi="Arial" w:cs="Arial"/>
              <w:b/>
              <w:sz w:val="23"/>
              <w:szCs w:val="23"/>
            </w:rPr>
            <w:t>Form 1212 and SAP Workflow</w:t>
          </w:r>
        </w:p>
      </w:tc>
    </w:tr>
    <w:tr w:rsidR="008A3849" w:rsidTr="001827E1">
      <w:trPr>
        <w:cantSplit/>
        <w:trHeight w:val="288"/>
      </w:trPr>
      <w:tc>
        <w:tcPr>
          <w:tcW w:w="5598" w:type="dxa"/>
          <w:gridSpan w:val="2"/>
          <w:vAlign w:val="center"/>
        </w:tcPr>
        <w:p w:rsidR="008A3849" w:rsidRPr="00AF44E2" w:rsidRDefault="008A3849" w:rsidP="003957C4">
          <w:pPr>
            <w:rPr>
              <w:rFonts w:ascii="Arial" w:hAnsi="Arial" w:cs="Arial"/>
            </w:rPr>
          </w:pPr>
          <w:r w:rsidRPr="00AF44E2">
            <w:rPr>
              <w:rFonts w:ascii="Arial" w:hAnsi="Arial" w:cs="Arial"/>
              <w:sz w:val="23"/>
              <w:szCs w:val="23"/>
            </w:rPr>
            <w:t>Project Development Branch</w:t>
          </w:r>
        </w:p>
      </w:tc>
      <w:tc>
        <w:tcPr>
          <w:tcW w:w="4698" w:type="dxa"/>
          <w:vAlign w:val="center"/>
        </w:tcPr>
        <w:p w:rsidR="008A3849" w:rsidRPr="00532D52" w:rsidRDefault="008A3849" w:rsidP="00865397">
          <w:pPr>
            <w:rPr>
              <w:rFonts w:ascii="Arial" w:hAnsi="Arial" w:cs="Arial"/>
              <w:sz w:val="23"/>
              <w:szCs w:val="23"/>
            </w:rPr>
          </w:pPr>
          <w:r w:rsidRPr="00532D52">
            <w:rPr>
              <w:rFonts w:ascii="Arial" w:hAnsi="Arial" w:cs="Arial"/>
              <w:sz w:val="23"/>
              <w:szCs w:val="23"/>
            </w:rPr>
            <w:t>20</w:t>
          </w:r>
          <w:r>
            <w:rPr>
              <w:rFonts w:ascii="Arial" w:hAnsi="Arial" w:cs="Arial"/>
              <w:sz w:val="23"/>
              <w:szCs w:val="23"/>
            </w:rPr>
            <w:t>10</w:t>
          </w:r>
          <w:r w:rsidRPr="00532D52">
            <w:rPr>
              <w:rFonts w:ascii="Arial" w:hAnsi="Arial" w:cs="Arial"/>
              <w:sz w:val="23"/>
              <w:szCs w:val="23"/>
            </w:rPr>
            <w:t xml:space="preserve"> Number </w:t>
          </w:r>
          <w:r w:rsidR="00865397">
            <w:rPr>
              <w:rFonts w:ascii="Arial" w:hAnsi="Arial" w:cs="Arial"/>
              <w:sz w:val="23"/>
              <w:szCs w:val="23"/>
            </w:rPr>
            <w:t>6</w:t>
          </w:r>
          <w:r w:rsidRPr="00532D52">
            <w:rPr>
              <w:rFonts w:ascii="Arial" w:hAnsi="Arial" w:cs="Arial"/>
              <w:sz w:val="23"/>
              <w:szCs w:val="23"/>
            </w:rPr>
            <w:t xml:space="preserve">, Page </w:t>
          </w:r>
          <w:r w:rsidR="00A5660F" w:rsidRPr="00532D52">
            <w:rPr>
              <w:rFonts w:ascii="Arial" w:hAnsi="Arial" w:cs="Arial"/>
              <w:sz w:val="23"/>
              <w:szCs w:val="23"/>
            </w:rPr>
            <w:fldChar w:fldCharType="begin"/>
          </w:r>
          <w:r w:rsidRPr="00532D52">
            <w:rPr>
              <w:rFonts w:ascii="Arial" w:hAnsi="Arial" w:cs="Arial"/>
              <w:sz w:val="23"/>
              <w:szCs w:val="23"/>
            </w:rPr>
            <w:instrText xml:space="preserve"> PAGE </w:instrText>
          </w:r>
          <w:r w:rsidR="00A5660F" w:rsidRPr="00532D52">
            <w:rPr>
              <w:rFonts w:ascii="Arial" w:hAnsi="Arial" w:cs="Arial"/>
              <w:sz w:val="23"/>
              <w:szCs w:val="23"/>
            </w:rPr>
            <w:fldChar w:fldCharType="separate"/>
          </w:r>
          <w:r w:rsidR="00DB4C2E">
            <w:rPr>
              <w:rFonts w:ascii="Arial" w:hAnsi="Arial" w:cs="Arial"/>
              <w:noProof/>
              <w:sz w:val="23"/>
              <w:szCs w:val="23"/>
            </w:rPr>
            <w:t>1</w:t>
          </w:r>
          <w:r w:rsidR="00A5660F" w:rsidRPr="00532D52">
            <w:rPr>
              <w:rFonts w:ascii="Arial" w:hAnsi="Arial" w:cs="Arial"/>
              <w:sz w:val="23"/>
              <w:szCs w:val="23"/>
            </w:rPr>
            <w:fldChar w:fldCharType="end"/>
          </w:r>
          <w:r w:rsidRPr="00532D52">
            <w:rPr>
              <w:rFonts w:ascii="Arial" w:hAnsi="Arial" w:cs="Arial"/>
              <w:sz w:val="23"/>
              <w:szCs w:val="23"/>
            </w:rPr>
            <w:t xml:space="preserve"> of </w:t>
          </w:r>
          <w:r w:rsidR="00A5660F" w:rsidRPr="00532D52">
            <w:rPr>
              <w:rFonts w:ascii="Arial" w:hAnsi="Arial" w:cs="Arial"/>
              <w:sz w:val="23"/>
              <w:szCs w:val="23"/>
            </w:rPr>
            <w:fldChar w:fldCharType="begin"/>
          </w:r>
          <w:r w:rsidRPr="00532D52">
            <w:rPr>
              <w:rFonts w:ascii="Arial" w:hAnsi="Arial" w:cs="Arial"/>
              <w:sz w:val="23"/>
              <w:szCs w:val="23"/>
            </w:rPr>
            <w:instrText xml:space="preserve"> NUMPAGES  </w:instrText>
          </w:r>
          <w:r w:rsidR="00A5660F" w:rsidRPr="00532D52">
            <w:rPr>
              <w:rFonts w:ascii="Arial" w:hAnsi="Arial" w:cs="Arial"/>
              <w:sz w:val="23"/>
              <w:szCs w:val="23"/>
            </w:rPr>
            <w:fldChar w:fldCharType="separate"/>
          </w:r>
          <w:r w:rsidR="000B49EF">
            <w:rPr>
              <w:rFonts w:ascii="Arial" w:hAnsi="Arial" w:cs="Arial"/>
              <w:noProof/>
              <w:sz w:val="23"/>
              <w:szCs w:val="23"/>
            </w:rPr>
            <w:t>6</w:t>
          </w:r>
          <w:r w:rsidR="00A5660F" w:rsidRPr="00532D52">
            <w:rPr>
              <w:rFonts w:ascii="Arial" w:hAnsi="Arial" w:cs="Arial"/>
              <w:sz w:val="23"/>
              <w:szCs w:val="23"/>
            </w:rPr>
            <w:fldChar w:fldCharType="end"/>
          </w:r>
        </w:p>
      </w:tc>
    </w:tr>
    <w:tr w:rsidR="008A3849" w:rsidTr="001827E1">
      <w:trPr>
        <w:cantSplit/>
        <w:trHeight w:val="288"/>
      </w:trPr>
      <w:tc>
        <w:tcPr>
          <w:tcW w:w="5598" w:type="dxa"/>
          <w:gridSpan w:val="2"/>
          <w:vAlign w:val="center"/>
        </w:tcPr>
        <w:p w:rsidR="008A3849" w:rsidRDefault="008A3849" w:rsidP="003957C4"/>
      </w:tc>
      <w:tc>
        <w:tcPr>
          <w:tcW w:w="4698" w:type="dxa"/>
          <w:vAlign w:val="center"/>
        </w:tcPr>
        <w:p w:rsidR="008A3849" w:rsidRPr="00AF44E2" w:rsidRDefault="008A3849" w:rsidP="00865397">
          <w:pPr>
            <w:rPr>
              <w:rFonts w:ascii="Arial" w:hAnsi="Arial" w:cs="Arial"/>
            </w:rPr>
          </w:pPr>
          <w:r w:rsidRPr="00AF44E2">
            <w:rPr>
              <w:rFonts w:ascii="Arial" w:hAnsi="Arial" w:cs="Arial"/>
              <w:sz w:val="23"/>
              <w:szCs w:val="23"/>
            </w:rPr>
            <w:t xml:space="preserve">Date: </w:t>
          </w:r>
          <w:r w:rsidR="00865397">
            <w:rPr>
              <w:rFonts w:ascii="Arial" w:hAnsi="Arial" w:cs="Arial"/>
              <w:sz w:val="23"/>
              <w:szCs w:val="23"/>
            </w:rPr>
            <w:t>September 24, 2010</w:t>
          </w:r>
        </w:p>
      </w:tc>
    </w:tr>
  </w:tbl>
  <w:p w:rsidR="008A3849" w:rsidRPr="00F71829" w:rsidRDefault="008A3849" w:rsidP="00F718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97" w:rsidRDefault="008653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3124"/>
    <w:multiLevelType w:val="hybridMultilevel"/>
    <w:tmpl w:val="2540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05A07"/>
    <w:multiLevelType w:val="hybridMultilevel"/>
    <w:tmpl w:val="D2DCED26"/>
    <w:lvl w:ilvl="0" w:tplc="286C009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B4E6A"/>
    <w:multiLevelType w:val="hybridMultilevel"/>
    <w:tmpl w:val="509611F2"/>
    <w:lvl w:ilvl="0" w:tplc="AD1E05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85D82"/>
    <w:multiLevelType w:val="hybridMultilevel"/>
    <w:tmpl w:val="C9D80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4745D7"/>
    <w:multiLevelType w:val="hybridMultilevel"/>
    <w:tmpl w:val="0504B8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23F006F"/>
    <w:multiLevelType w:val="hybridMultilevel"/>
    <w:tmpl w:val="9CDE5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595821"/>
    <w:multiLevelType w:val="hybridMultilevel"/>
    <w:tmpl w:val="5ADE6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354A5D"/>
    <w:rsid w:val="000447B4"/>
    <w:rsid w:val="00067B87"/>
    <w:rsid w:val="00097DA4"/>
    <w:rsid w:val="000A480C"/>
    <w:rsid w:val="000B49EF"/>
    <w:rsid w:val="000E3B72"/>
    <w:rsid w:val="000F0DBF"/>
    <w:rsid w:val="000F12ED"/>
    <w:rsid w:val="00103BCB"/>
    <w:rsid w:val="00113FD8"/>
    <w:rsid w:val="001174E2"/>
    <w:rsid w:val="001207F0"/>
    <w:rsid w:val="00126E93"/>
    <w:rsid w:val="0014036B"/>
    <w:rsid w:val="00144674"/>
    <w:rsid w:val="0016353A"/>
    <w:rsid w:val="001827E1"/>
    <w:rsid w:val="00195856"/>
    <w:rsid w:val="001A0354"/>
    <w:rsid w:val="001A29E6"/>
    <w:rsid w:val="001A4B3A"/>
    <w:rsid w:val="001A4F37"/>
    <w:rsid w:val="001B2AE7"/>
    <w:rsid w:val="001E36D0"/>
    <w:rsid w:val="001F343D"/>
    <w:rsid w:val="0020787D"/>
    <w:rsid w:val="002117EA"/>
    <w:rsid w:val="0023781A"/>
    <w:rsid w:val="0024612A"/>
    <w:rsid w:val="00250962"/>
    <w:rsid w:val="00255AA3"/>
    <w:rsid w:val="00261DE8"/>
    <w:rsid w:val="002A0E76"/>
    <w:rsid w:val="002B0D6A"/>
    <w:rsid w:val="002E3B77"/>
    <w:rsid w:val="002F554E"/>
    <w:rsid w:val="003059DD"/>
    <w:rsid w:val="00325A7D"/>
    <w:rsid w:val="00332E35"/>
    <w:rsid w:val="00332F76"/>
    <w:rsid w:val="00334805"/>
    <w:rsid w:val="00336543"/>
    <w:rsid w:val="00337079"/>
    <w:rsid w:val="00350552"/>
    <w:rsid w:val="00354A5D"/>
    <w:rsid w:val="00357A48"/>
    <w:rsid w:val="003700B0"/>
    <w:rsid w:val="00370784"/>
    <w:rsid w:val="00384E55"/>
    <w:rsid w:val="00384F03"/>
    <w:rsid w:val="003866FD"/>
    <w:rsid w:val="003957C4"/>
    <w:rsid w:val="003A08B6"/>
    <w:rsid w:val="003A6BC5"/>
    <w:rsid w:val="003C36C9"/>
    <w:rsid w:val="003F07B0"/>
    <w:rsid w:val="004156C1"/>
    <w:rsid w:val="00415ACD"/>
    <w:rsid w:val="004520EC"/>
    <w:rsid w:val="00455A0B"/>
    <w:rsid w:val="004663B1"/>
    <w:rsid w:val="00475221"/>
    <w:rsid w:val="00477211"/>
    <w:rsid w:val="004904DC"/>
    <w:rsid w:val="004D3DC4"/>
    <w:rsid w:val="004D423F"/>
    <w:rsid w:val="004E0172"/>
    <w:rsid w:val="0050218F"/>
    <w:rsid w:val="00532D52"/>
    <w:rsid w:val="00536076"/>
    <w:rsid w:val="0054092E"/>
    <w:rsid w:val="005510A6"/>
    <w:rsid w:val="005648BD"/>
    <w:rsid w:val="005672AB"/>
    <w:rsid w:val="005A38B0"/>
    <w:rsid w:val="005A4278"/>
    <w:rsid w:val="005A4D6D"/>
    <w:rsid w:val="005A7AFE"/>
    <w:rsid w:val="005B475D"/>
    <w:rsid w:val="005B64A7"/>
    <w:rsid w:val="0060251D"/>
    <w:rsid w:val="006137F8"/>
    <w:rsid w:val="00622509"/>
    <w:rsid w:val="00630603"/>
    <w:rsid w:val="006451FB"/>
    <w:rsid w:val="006467C5"/>
    <w:rsid w:val="006704ED"/>
    <w:rsid w:val="006973E2"/>
    <w:rsid w:val="006B2AD5"/>
    <w:rsid w:val="006B6871"/>
    <w:rsid w:val="006E1835"/>
    <w:rsid w:val="006E798A"/>
    <w:rsid w:val="006F78CE"/>
    <w:rsid w:val="00704392"/>
    <w:rsid w:val="00711E0D"/>
    <w:rsid w:val="0072608A"/>
    <w:rsid w:val="007262E4"/>
    <w:rsid w:val="00740597"/>
    <w:rsid w:val="00763A06"/>
    <w:rsid w:val="0077476B"/>
    <w:rsid w:val="00774F2C"/>
    <w:rsid w:val="00776786"/>
    <w:rsid w:val="007776C1"/>
    <w:rsid w:val="007F6E6A"/>
    <w:rsid w:val="007F73E4"/>
    <w:rsid w:val="007F799D"/>
    <w:rsid w:val="007F7F4A"/>
    <w:rsid w:val="00826B51"/>
    <w:rsid w:val="008378E4"/>
    <w:rsid w:val="008430BC"/>
    <w:rsid w:val="00865397"/>
    <w:rsid w:val="00866041"/>
    <w:rsid w:val="0088042B"/>
    <w:rsid w:val="00894F26"/>
    <w:rsid w:val="008A3849"/>
    <w:rsid w:val="008A40E8"/>
    <w:rsid w:val="008E2D23"/>
    <w:rsid w:val="008F3E7E"/>
    <w:rsid w:val="008F4729"/>
    <w:rsid w:val="0090379D"/>
    <w:rsid w:val="00912BB2"/>
    <w:rsid w:val="009318C5"/>
    <w:rsid w:val="00956916"/>
    <w:rsid w:val="00966520"/>
    <w:rsid w:val="009B0684"/>
    <w:rsid w:val="009C311A"/>
    <w:rsid w:val="009C5019"/>
    <w:rsid w:val="00A02624"/>
    <w:rsid w:val="00A25D63"/>
    <w:rsid w:val="00A3379D"/>
    <w:rsid w:val="00A40D4B"/>
    <w:rsid w:val="00A5660F"/>
    <w:rsid w:val="00A7490A"/>
    <w:rsid w:val="00A752B2"/>
    <w:rsid w:val="00A7709D"/>
    <w:rsid w:val="00A824A5"/>
    <w:rsid w:val="00A9361F"/>
    <w:rsid w:val="00A94CB9"/>
    <w:rsid w:val="00A95E8E"/>
    <w:rsid w:val="00A9788C"/>
    <w:rsid w:val="00AA2AC6"/>
    <w:rsid w:val="00AB47B3"/>
    <w:rsid w:val="00AE6381"/>
    <w:rsid w:val="00AE7019"/>
    <w:rsid w:val="00AF44E2"/>
    <w:rsid w:val="00B24061"/>
    <w:rsid w:val="00B33E3F"/>
    <w:rsid w:val="00B57C04"/>
    <w:rsid w:val="00B6153D"/>
    <w:rsid w:val="00B618CD"/>
    <w:rsid w:val="00B67DAD"/>
    <w:rsid w:val="00B827DA"/>
    <w:rsid w:val="00B82CDC"/>
    <w:rsid w:val="00B933E5"/>
    <w:rsid w:val="00BA767D"/>
    <w:rsid w:val="00BE4FC3"/>
    <w:rsid w:val="00BE6F04"/>
    <w:rsid w:val="00BF7F7E"/>
    <w:rsid w:val="00C06F72"/>
    <w:rsid w:val="00C140D9"/>
    <w:rsid w:val="00C8281D"/>
    <w:rsid w:val="00C85D4F"/>
    <w:rsid w:val="00CB69FF"/>
    <w:rsid w:val="00CC19C5"/>
    <w:rsid w:val="00CC3E68"/>
    <w:rsid w:val="00CC4562"/>
    <w:rsid w:val="00CC62C4"/>
    <w:rsid w:val="00CF239F"/>
    <w:rsid w:val="00D05C19"/>
    <w:rsid w:val="00D11CCF"/>
    <w:rsid w:val="00D22466"/>
    <w:rsid w:val="00D31C78"/>
    <w:rsid w:val="00D41120"/>
    <w:rsid w:val="00D4320B"/>
    <w:rsid w:val="00D5285F"/>
    <w:rsid w:val="00D716BD"/>
    <w:rsid w:val="00D7248C"/>
    <w:rsid w:val="00D908E8"/>
    <w:rsid w:val="00D90A35"/>
    <w:rsid w:val="00D95B86"/>
    <w:rsid w:val="00DB4C2E"/>
    <w:rsid w:val="00DC22ED"/>
    <w:rsid w:val="00DD0144"/>
    <w:rsid w:val="00E0061C"/>
    <w:rsid w:val="00E308CE"/>
    <w:rsid w:val="00E51337"/>
    <w:rsid w:val="00E536F3"/>
    <w:rsid w:val="00E63F1D"/>
    <w:rsid w:val="00E8477A"/>
    <w:rsid w:val="00EE32F6"/>
    <w:rsid w:val="00F12CBA"/>
    <w:rsid w:val="00F40F41"/>
    <w:rsid w:val="00F4227C"/>
    <w:rsid w:val="00F6390F"/>
    <w:rsid w:val="00F64B39"/>
    <w:rsid w:val="00F71829"/>
    <w:rsid w:val="00F82BBB"/>
    <w:rsid w:val="00FA0B13"/>
    <w:rsid w:val="00FA2E6D"/>
    <w:rsid w:val="00FB3825"/>
    <w:rsid w:val="00FB46F6"/>
    <w:rsid w:val="00FC6186"/>
    <w:rsid w:val="00FD0DF2"/>
    <w:rsid w:val="00FE501F"/>
    <w:rsid w:val="00FE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basedOn w:val="DefaultParagraphFont"/>
    <w:rsid w:val="00354A5D"/>
    <w:rPr>
      <w:color w:val="0000FF"/>
      <w:u w:val="single"/>
    </w:rPr>
  </w:style>
  <w:style w:type="table" w:styleId="TableGrid">
    <w:name w:val="Table Grid"/>
    <w:basedOn w:val="TableNormal"/>
    <w:rsid w:val="00F71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B6871"/>
    <w:rPr>
      <w:sz w:val="16"/>
      <w:szCs w:val="16"/>
    </w:rPr>
  </w:style>
  <w:style w:type="paragraph" w:styleId="CommentText">
    <w:name w:val="annotation text"/>
    <w:basedOn w:val="Normal"/>
    <w:link w:val="CommentTextChar"/>
    <w:rsid w:val="006B6871"/>
    <w:rPr>
      <w:sz w:val="20"/>
      <w:szCs w:val="20"/>
    </w:rPr>
  </w:style>
  <w:style w:type="character" w:customStyle="1" w:styleId="CommentTextChar">
    <w:name w:val="Comment Text Char"/>
    <w:basedOn w:val="DefaultParagraphFont"/>
    <w:link w:val="CommentText"/>
    <w:rsid w:val="006B6871"/>
  </w:style>
  <w:style w:type="paragraph" w:styleId="CommentSubject">
    <w:name w:val="annotation subject"/>
    <w:basedOn w:val="CommentText"/>
    <w:next w:val="CommentText"/>
    <w:link w:val="CommentSubjectChar"/>
    <w:rsid w:val="006B6871"/>
    <w:rPr>
      <w:b/>
      <w:bCs/>
    </w:rPr>
  </w:style>
  <w:style w:type="character" w:customStyle="1" w:styleId="CommentSubjectChar">
    <w:name w:val="Comment Subject Char"/>
    <w:basedOn w:val="CommentTextChar"/>
    <w:link w:val="CommentSubject"/>
    <w:rsid w:val="006B6871"/>
    <w:rPr>
      <w:b/>
      <w:bCs/>
    </w:rPr>
  </w:style>
  <w:style w:type="paragraph" w:styleId="PlainText">
    <w:name w:val="Plain Text"/>
    <w:basedOn w:val="Normal"/>
    <w:link w:val="PlainTextChar"/>
    <w:uiPriority w:val="99"/>
    <w:unhideWhenUsed/>
    <w:rsid w:val="00CB69FF"/>
    <w:rPr>
      <w:rFonts w:ascii="Consolas" w:eastAsia="Calibri" w:hAnsi="Consolas"/>
      <w:sz w:val="21"/>
      <w:szCs w:val="21"/>
    </w:rPr>
  </w:style>
  <w:style w:type="character" w:customStyle="1" w:styleId="PlainTextChar">
    <w:name w:val="Plain Text Char"/>
    <w:basedOn w:val="DefaultParagraphFont"/>
    <w:link w:val="PlainText"/>
    <w:uiPriority w:val="99"/>
    <w:rsid w:val="00CB69FF"/>
    <w:rPr>
      <w:rFonts w:ascii="Consolas" w:eastAsia="Calibri" w:hAnsi="Consolas" w:cs="Times New Roman"/>
      <w:sz w:val="21"/>
      <w:szCs w:val="21"/>
    </w:rPr>
  </w:style>
  <w:style w:type="paragraph" w:styleId="ListParagraph">
    <w:name w:val="List Paragraph"/>
    <w:basedOn w:val="Normal"/>
    <w:uiPriority w:val="34"/>
    <w:qFormat/>
    <w:rsid w:val="00CB69FF"/>
    <w:pPr>
      <w:ind w:left="720"/>
    </w:pPr>
  </w:style>
</w:styles>
</file>

<file path=word/webSettings.xml><?xml version="1.0" encoding="utf-8"?>
<w:webSettings xmlns:r="http://schemas.openxmlformats.org/officeDocument/2006/relationships" xmlns:w="http://schemas.openxmlformats.org/wordprocessingml/2006/main">
  <w:divs>
    <w:div w:id="17051147">
      <w:bodyDiv w:val="1"/>
      <w:marLeft w:val="0"/>
      <w:marRight w:val="0"/>
      <w:marTop w:val="0"/>
      <w:marBottom w:val="0"/>
      <w:divBdr>
        <w:top w:val="none" w:sz="0" w:space="0" w:color="auto"/>
        <w:left w:val="none" w:sz="0" w:space="0" w:color="auto"/>
        <w:bottom w:val="none" w:sz="0" w:space="0" w:color="auto"/>
        <w:right w:val="none" w:sz="0" w:space="0" w:color="auto"/>
      </w:divBdr>
    </w:div>
    <w:div w:id="1093017758">
      <w:bodyDiv w:val="1"/>
      <w:marLeft w:val="0"/>
      <w:marRight w:val="0"/>
      <w:marTop w:val="0"/>
      <w:marBottom w:val="0"/>
      <w:divBdr>
        <w:top w:val="none" w:sz="0" w:space="0" w:color="auto"/>
        <w:left w:val="none" w:sz="0" w:space="0" w:color="auto"/>
        <w:bottom w:val="none" w:sz="0" w:space="0" w:color="auto"/>
        <w:right w:val="none" w:sz="0" w:space="0" w:color="auto"/>
      </w:divBdr>
    </w:div>
    <w:div w:id="1652369182">
      <w:bodyDiv w:val="1"/>
      <w:marLeft w:val="0"/>
      <w:marRight w:val="0"/>
      <w:marTop w:val="0"/>
      <w:marBottom w:val="0"/>
      <w:divBdr>
        <w:top w:val="none" w:sz="0" w:space="0" w:color="auto"/>
        <w:left w:val="none" w:sz="0" w:space="0" w:color="auto"/>
        <w:bottom w:val="none" w:sz="0" w:space="0" w:color="auto"/>
        <w:right w:val="none" w:sz="0" w:space="0" w:color="auto"/>
      </w:divBdr>
    </w:div>
    <w:div w:id="18314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rhived xmlns="0b145d5e-74af-4051-92d5-51125620d4de">Archived</Ar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7D85D0D0D02C4AA7C6D8BE75BFB4ED" ma:contentTypeVersion="1" ma:contentTypeDescription="Create a new document." ma:contentTypeScope="" ma:versionID="8770be5228a0e42b9e0181bd4de117e8">
  <xsd:schema xmlns:xsd="http://www.w3.org/2001/XMLSchema" xmlns:p="http://schemas.microsoft.com/office/2006/metadata/properties" xmlns:ns2="0b145d5e-74af-4051-92d5-51125620d4de" targetNamespace="http://schemas.microsoft.com/office/2006/metadata/properties" ma:root="true" ma:fieldsID="cd7705855e2df540db2d14756db40e8f" ns2:_="">
    <xsd:import namespace="0b145d5e-74af-4051-92d5-51125620d4de"/>
    <xsd:element name="properties">
      <xsd:complexType>
        <xsd:sequence>
          <xsd:element name="documentManagement">
            <xsd:complexType>
              <xsd:all>
                <xsd:element ref="ns2:Arhived" minOccurs="0"/>
              </xsd:all>
            </xsd:complexType>
          </xsd:element>
        </xsd:sequence>
      </xsd:complexType>
    </xsd:element>
  </xsd:schema>
  <xsd:schema xmlns:xsd="http://www.w3.org/2001/XMLSchema" xmlns:dms="http://schemas.microsoft.com/office/2006/documentManagement/types" targetNamespace="0b145d5e-74af-4051-92d5-51125620d4de" elementFormDefault="qualified">
    <xsd:import namespace="http://schemas.microsoft.com/office/2006/documentManagement/types"/>
    <xsd:element name="Arhived" ma:index="8" nillable="true" ma:displayName="Archived" ma:default="Archived" ma:description="Documents that are archived" ma:format="Dropdown" ma:internalName="Arhived">
      <xsd:simpleType>
        <xsd:restriction base="dms:Choice">
          <xsd:enumeration value="Archived"/>
          <xsd:enumeration value="Curr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8475F1-3A70-4CEB-9D54-163F5C473E36}">
  <ds:schemaRefs>
    <ds:schemaRef ds:uri="http://schemas.microsoft.com/office/2006/metadata/properties"/>
    <ds:schemaRef ds:uri="0b145d5e-74af-4051-92d5-51125620d4de"/>
  </ds:schemaRefs>
</ds:datastoreItem>
</file>

<file path=customXml/itemProps2.xml><?xml version="1.0" encoding="utf-8"?>
<ds:datastoreItem xmlns:ds="http://schemas.openxmlformats.org/officeDocument/2006/customXml" ds:itemID="{3A18E619-B268-4E3E-AD8B-7DB7CD0D73DE}">
  <ds:schemaRefs>
    <ds:schemaRef ds:uri="http://schemas.microsoft.com/sharepoint/v3/contenttype/forms"/>
  </ds:schemaRefs>
</ds:datastoreItem>
</file>

<file path=customXml/itemProps3.xml><?xml version="1.0" encoding="utf-8"?>
<ds:datastoreItem xmlns:ds="http://schemas.openxmlformats.org/officeDocument/2006/customXml" ds:itemID="{CAD81677-2E88-4D73-AFE6-02C462342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45d5e-74af-4051-92d5-51125620d4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Mike Coy</cp:lastModifiedBy>
  <cp:revision>15</cp:revision>
  <cp:lastPrinted>2010-09-24T15:49:00Z</cp:lastPrinted>
  <dcterms:created xsi:type="dcterms:W3CDTF">2010-09-17T22:17:00Z</dcterms:created>
  <dcterms:modified xsi:type="dcterms:W3CDTF">2010-09-24T15:50:00Z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0x0101005B7D85D0D0D02C4AA7C6D8BE75BFB4ED</vt:lpwstr>
  </property>
  <property fmtid="{D5CDD505-2E9C-101B-9397-08002B2CF9AE}" pid="3" name="Order">
    <vt:lpwstr>1600.00000000000</vt:lpwstr>
  </property>
  <property fmtid="{D5CDD505-2E9C-101B-9397-08002B2CF9AE}" pid="4" name="Arhived">
    <vt:lpwstr>Current</vt:lpwstr>
  </property>
</Properties>
</file>