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0E" w:rsidRPr="00321AEC" w:rsidRDefault="002B630E" w:rsidP="00321AEC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321AEC">
        <w:rPr>
          <w:rFonts w:ascii="Arial" w:hAnsi="Arial" w:cs="Arial"/>
          <w:b/>
          <w:bCs/>
          <w:sz w:val="22"/>
          <w:szCs w:val="22"/>
        </w:rPr>
        <w:t>Replaces CB 2002-8, Issued April 22, 2003</w:t>
      </w:r>
    </w:p>
    <w:p w:rsidR="002B630E" w:rsidRDefault="002B630E" w:rsidP="002A1123">
      <w:pPr>
        <w:jc w:val="center"/>
        <w:rPr>
          <w:rFonts w:ascii="Arial" w:hAnsi="Arial" w:cs="Arial"/>
          <w:b/>
          <w:bCs/>
        </w:rPr>
      </w:pPr>
    </w:p>
    <w:p w:rsidR="002A1123" w:rsidRPr="002A1123" w:rsidRDefault="002A1123" w:rsidP="002A1123">
      <w:pPr>
        <w:jc w:val="center"/>
        <w:rPr>
          <w:rFonts w:ascii="Arial" w:hAnsi="Arial" w:cs="Arial"/>
          <w:b/>
          <w:bCs/>
        </w:rPr>
      </w:pPr>
      <w:r w:rsidRPr="002A1123">
        <w:rPr>
          <w:rFonts w:ascii="Arial" w:hAnsi="Arial" w:cs="Arial"/>
          <w:b/>
          <w:bCs/>
        </w:rPr>
        <w:t>CDOT Form 280</w:t>
      </w:r>
    </w:p>
    <w:p w:rsidR="002A1123" w:rsidRPr="002A1123" w:rsidRDefault="002A1123" w:rsidP="002A1123">
      <w:pPr>
        <w:jc w:val="center"/>
        <w:rPr>
          <w:rFonts w:ascii="Arial" w:hAnsi="Arial" w:cs="Arial"/>
          <w:b/>
          <w:bCs/>
        </w:rPr>
      </w:pPr>
      <w:r w:rsidRPr="002A1123">
        <w:rPr>
          <w:rFonts w:ascii="Arial" w:hAnsi="Arial" w:cs="Arial"/>
          <w:b/>
          <w:bCs/>
        </w:rPr>
        <w:t>Equal Employment Opportunity and</w:t>
      </w:r>
    </w:p>
    <w:p w:rsidR="002A1123" w:rsidRPr="002A1123" w:rsidRDefault="002A1123" w:rsidP="002A1123">
      <w:pPr>
        <w:jc w:val="center"/>
        <w:rPr>
          <w:rFonts w:ascii="Arial" w:hAnsi="Arial" w:cs="Arial"/>
          <w:b/>
          <w:bCs/>
        </w:rPr>
      </w:pPr>
      <w:r w:rsidRPr="002A1123">
        <w:rPr>
          <w:rFonts w:ascii="Arial" w:hAnsi="Arial" w:cs="Arial"/>
          <w:b/>
          <w:bCs/>
        </w:rPr>
        <w:t>Labor Compliance Verification</w:t>
      </w:r>
    </w:p>
    <w:p w:rsidR="002A1123" w:rsidRPr="002A1123" w:rsidRDefault="002A1123" w:rsidP="002A1123">
      <w:pPr>
        <w:rPr>
          <w:rFonts w:ascii="Arial" w:hAnsi="Arial" w:cs="Arial"/>
          <w:b/>
          <w:bCs/>
        </w:rPr>
      </w:pPr>
    </w:p>
    <w:p w:rsidR="002A1123" w:rsidRDefault="002A1123" w:rsidP="002A1123">
      <w:pPr>
        <w:rPr>
          <w:rFonts w:ascii="Arial" w:hAnsi="Arial" w:cs="Arial"/>
          <w:b/>
          <w:bCs/>
        </w:rPr>
      </w:pPr>
      <w:r w:rsidRPr="002A1123">
        <w:rPr>
          <w:rFonts w:ascii="Arial" w:hAnsi="Arial" w:cs="Arial"/>
          <w:b/>
          <w:bCs/>
        </w:rPr>
        <w:t xml:space="preserve">Section 107.1.3.3 of the 2002 Construction Manual </w:t>
      </w:r>
      <w:r w:rsidR="002B630E">
        <w:rPr>
          <w:rFonts w:ascii="Arial" w:hAnsi="Arial" w:cs="Arial"/>
          <w:b/>
          <w:bCs/>
        </w:rPr>
        <w:t>is</w:t>
      </w:r>
      <w:r w:rsidR="002B630E" w:rsidRPr="002A1123">
        <w:rPr>
          <w:rFonts w:ascii="Arial" w:hAnsi="Arial" w:cs="Arial"/>
          <w:b/>
          <w:bCs/>
        </w:rPr>
        <w:t xml:space="preserve"> </w:t>
      </w:r>
      <w:r w:rsidRPr="002A1123">
        <w:rPr>
          <w:rFonts w:ascii="Arial" w:hAnsi="Arial" w:cs="Arial"/>
          <w:b/>
          <w:bCs/>
        </w:rPr>
        <w:t>hereby deleted and replaced with the following:</w:t>
      </w:r>
    </w:p>
    <w:p w:rsidR="0072538C" w:rsidRDefault="0072538C" w:rsidP="002A1123">
      <w:pPr>
        <w:rPr>
          <w:rFonts w:ascii="Arial" w:hAnsi="Arial" w:cs="Arial"/>
          <w:b/>
          <w:bCs/>
        </w:rPr>
      </w:pPr>
    </w:p>
    <w:p w:rsidR="002A1123" w:rsidRPr="002A1123" w:rsidRDefault="002A1123" w:rsidP="002A1123">
      <w:pPr>
        <w:rPr>
          <w:rFonts w:ascii="Arial" w:hAnsi="Arial" w:cs="Arial"/>
        </w:rPr>
      </w:pPr>
      <w:r w:rsidRPr="002A1123">
        <w:rPr>
          <w:rFonts w:ascii="Arial" w:hAnsi="Arial" w:cs="Arial"/>
        </w:rPr>
        <w:t xml:space="preserve">Form 280 – EEO and Labor Compliance Verification will be used to document compliance with both Equal Employment Opportunity (EEO) and </w:t>
      </w:r>
      <w:r w:rsidR="002B630E">
        <w:rPr>
          <w:rFonts w:ascii="Arial" w:hAnsi="Arial" w:cs="Arial"/>
        </w:rPr>
        <w:t>L</w:t>
      </w:r>
      <w:r w:rsidRPr="002A1123">
        <w:rPr>
          <w:rFonts w:ascii="Arial" w:hAnsi="Arial" w:cs="Arial"/>
        </w:rPr>
        <w:t xml:space="preserve">abor </w:t>
      </w:r>
      <w:r w:rsidR="002B630E">
        <w:rPr>
          <w:rFonts w:ascii="Arial" w:hAnsi="Arial" w:cs="Arial"/>
        </w:rPr>
        <w:t>C</w:t>
      </w:r>
      <w:r w:rsidRPr="002A1123">
        <w:rPr>
          <w:rFonts w:ascii="Arial" w:hAnsi="Arial" w:cs="Arial"/>
        </w:rPr>
        <w:t xml:space="preserve">ompliance as required by federal regulations.  Form 280 interviews are required on all projects </w:t>
      </w:r>
      <w:r w:rsidR="002B630E">
        <w:rPr>
          <w:rFonts w:ascii="Arial" w:hAnsi="Arial" w:cs="Arial"/>
        </w:rPr>
        <w:t>(</w:t>
      </w:r>
      <w:r w:rsidRPr="002A1123">
        <w:rPr>
          <w:rFonts w:ascii="Arial" w:hAnsi="Arial" w:cs="Arial"/>
        </w:rPr>
        <w:t>i.e. federal aid construction projects, local agency projects, maintenance projects and state funded only projects</w:t>
      </w:r>
      <w:r w:rsidR="002B630E">
        <w:rPr>
          <w:rFonts w:ascii="Arial" w:hAnsi="Arial" w:cs="Arial"/>
        </w:rPr>
        <w:t>)</w:t>
      </w:r>
      <w:r w:rsidRPr="002A1123">
        <w:rPr>
          <w:rFonts w:ascii="Arial" w:hAnsi="Arial" w:cs="Arial"/>
        </w:rPr>
        <w:t xml:space="preserve">.  All projects require the “Equal Employment Opportunity” section to be completed.  The “Labor Compliance” section is only completed when Davis-Bacon wages are required on the project.  </w:t>
      </w:r>
    </w:p>
    <w:p w:rsidR="002A1123" w:rsidRPr="002A1123" w:rsidRDefault="002A1123" w:rsidP="002A1123">
      <w:pPr>
        <w:rPr>
          <w:rFonts w:ascii="Arial" w:hAnsi="Arial" w:cs="Arial"/>
        </w:rPr>
      </w:pPr>
    </w:p>
    <w:p w:rsidR="002A1123" w:rsidRPr="002A1123" w:rsidRDefault="002A1123" w:rsidP="002A1123">
      <w:pPr>
        <w:rPr>
          <w:rFonts w:ascii="Arial" w:hAnsi="Arial" w:cs="Arial"/>
        </w:rPr>
      </w:pPr>
      <w:r w:rsidRPr="002A1123">
        <w:rPr>
          <w:rFonts w:ascii="Arial" w:hAnsi="Arial" w:cs="Arial"/>
        </w:rPr>
        <w:t>Each Region Civil Rights Manager will create a process to report the number of interviews required and completed.  The actual interview forms shall be retained in the project records.  A copy should be forwarded to the Region Civil Rights Manager for follow-up action if problems are noted.  Region Civil Rights Manager will report data for each residency to the Programs and Project Analysis Unit on a quarterly basis.  The report will indicate the number of interviews required, completed and forwarded for follow up action.  The Programs and Project Analysis Unit will prepare a summary report for the Chief Engineer.</w:t>
      </w:r>
    </w:p>
    <w:p w:rsidR="002A1123" w:rsidRPr="002A1123" w:rsidRDefault="002A1123" w:rsidP="002A1123">
      <w:pPr>
        <w:rPr>
          <w:rFonts w:ascii="Arial" w:hAnsi="Arial" w:cs="Arial"/>
          <w:b/>
          <w:u w:val="single"/>
        </w:rPr>
      </w:pPr>
    </w:p>
    <w:p w:rsidR="002A1123" w:rsidRPr="002A1123" w:rsidRDefault="002A1123" w:rsidP="002A1123">
      <w:pPr>
        <w:rPr>
          <w:rFonts w:ascii="Arial" w:hAnsi="Arial" w:cs="Arial"/>
          <w:b/>
        </w:rPr>
      </w:pPr>
    </w:p>
    <w:p w:rsidR="002A1123" w:rsidRPr="002A1123" w:rsidRDefault="008D2E15" w:rsidP="002A11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personnel will conduct i</w:t>
      </w:r>
      <w:r w:rsidR="002A1123" w:rsidRPr="002A1123">
        <w:rPr>
          <w:rFonts w:ascii="Arial" w:hAnsi="Arial" w:cs="Arial"/>
          <w:b/>
        </w:rPr>
        <w:t>nterviews in accordance with the following</w:t>
      </w:r>
      <w:r w:rsidR="0049504A">
        <w:rPr>
          <w:rFonts w:ascii="Arial" w:hAnsi="Arial" w:cs="Arial"/>
          <w:b/>
        </w:rPr>
        <w:t xml:space="preserve"> table</w:t>
      </w:r>
      <w:r w:rsidR="002A1123" w:rsidRPr="002A1123">
        <w:rPr>
          <w:rFonts w:ascii="Arial" w:hAnsi="Arial" w:cs="Arial"/>
          <w:b/>
        </w:rPr>
        <w:t>:</w:t>
      </w:r>
    </w:p>
    <w:p w:rsidR="002A1123" w:rsidRPr="002A1123" w:rsidRDefault="002A1123" w:rsidP="002A1123">
      <w:pPr>
        <w:rPr>
          <w:rFonts w:ascii="Arial" w:hAnsi="Arial" w:cs="Arial"/>
          <w:b/>
        </w:rPr>
      </w:pPr>
    </w:p>
    <w:tbl>
      <w:tblPr>
        <w:tblStyle w:val="TableGrid"/>
        <w:tblW w:w="10440" w:type="dxa"/>
        <w:tblInd w:w="115" w:type="dxa"/>
        <w:tblLook w:val="04A0" w:firstRow="1" w:lastRow="0" w:firstColumn="1" w:lastColumn="0" w:noHBand="0" w:noVBand="1"/>
      </w:tblPr>
      <w:tblGrid>
        <w:gridCol w:w="5033"/>
        <w:gridCol w:w="5407"/>
      </w:tblGrid>
      <w:tr w:rsidR="0049504A" w:rsidRPr="009F4699" w:rsidTr="0049504A">
        <w:tc>
          <w:tcPr>
            <w:tcW w:w="503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9504A" w:rsidRPr="009F4699" w:rsidRDefault="0049504A" w:rsidP="00B635A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4699">
              <w:rPr>
                <w:rFonts w:ascii="Arial" w:hAnsi="Arial" w:cs="Arial"/>
                <w:b/>
                <w:color w:val="000000"/>
                <w:sz w:val="22"/>
                <w:szCs w:val="22"/>
              </w:rPr>
              <w:t> </w:t>
            </w:r>
            <w:r w:rsidRPr="009F4699">
              <w:rPr>
                <w:rFonts w:ascii="Arial" w:hAnsi="Arial" w:cs="Arial"/>
                <w:b/>
                <w:color w:val="000000"/>
                <w:sz w:val="22"/>
                <w:szCs w:val="22"/>
              </w:rPr>
              <w:t> </w:t>
            </w:r>
            <w:r w:rsidRPr="009F4699">
              <w:rPr>
                <w:rFonts w:ascii="Arial" w:hAnsi="Arial" w:cs="Arial"/>
                <w:b/>
                <w:color w:val="000000"/>
                <w:sz w:val="22"/>
                <w:szCs w:val="22"/>
              </w:rPr>
              <w:t> </w:t>
            </w:r>
            <w:r w:rsidRPr="009F4699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Contract Amount</w:t>
            </w:r>
          </w:p>
        </w:tc>
        <w:tc>
          <w:tcPr>
            <w:tcW w:w="540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9504A" w:rsidRPr="009F4699" w:rsidRDefault="0049504A" w:rsidP="00B635A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4699">
              <w:rPr>
                <w:rFonts w:ascii="Arial" w:hAnsi="Arial" w:cs="Arial"/>
                <w:b/>
                <w:color w:val="000000"/>
                <w:sz w:val="22"/>
                <w:szCs w:val="22"/>
              </w:rPr>
              <w:t> </w:t>
            </w:r>
            <w:r w:rsidRPr="009F4699">
              <w:rPr>
                <w:rFonts w:ascii="Arial" w:hAnsi="Arial" w:cs="Arial"/>
                <w:b/>
                <w:color w:val="000000"/>
                <w:sz w:val="22"/>
                <w:szCs w:val="22"/>
              </w:rPr>
              <w:t> </w:t>
            </w:r>
            <w:r w:rsidRPr="009F4699">
              <w:rPr>
                <w:rFonts w:ascii="Arial" w:hAnsi="Arial" w:cs="Arial"/>
                <w:b/>
                <w:color w:val="000000"/>
                <w:sz w:val="22"/>
                <w:szCs w:val="22"/>
              </w:rPr>
              <w:t> </w:t>
            </w:r>
            <w:r w:rsidRPr="009F4699">
              <w:rPr>
                <w:rFonts w:ascii="Arial" w:hAnsi="Arial" w:cs="Arial"/>
                <w:b/>
                <w:color w:val="000000"/>
                <w:sz w:val="22"/>
                <w:szCs w:val="22"/>
              </w:rPr>
              <w:t>Interviews Required</w:t>
            </w:r>
          </w:p>
        </w:tc>
      </w:tr>
      <w:tr w:rsidR="0049504A" w:rsidRPr="009F4699" w:rsidTr="0049504A">
        <w:tc>
          <w:tcPr>
            <w:tcW w:w="503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9504A" w:rsidRPr="009F4699" w:rsidRDefault="0049504A" w:rsidP="00B63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4699">
              <w:rPr>
                <w:rFonts w:ascii="Arial" w:hAnsi="Arial" w:cs="Arial"/>
                <w:color w:val="000000"/>
                <w:sz w:val="20"/>
                <w:szCs w:val="20"/>
              </w:rPr>
              <w:t>Up to $20 million</w:t>
            </w:r>
          </w:p>
        </w:tc>
        <w:tc>
          <w:tcPr>
            <w:tcW w:w="540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9504A" w:rsidRPr="009F4699" w:rsidRDefault="0049504A" w:rsidP="00B63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4699">
              <w:rPr>
                <w:rFonts w:ascii="Arial" w:hAnsi="Arial" w:cs="Arial"/>
                <w:color w:val="000000"/>
                <w:sz w:val="20"/>
                <w:szCs w:val="20"/>
              </w:rPr>
              <w:t>4 interviews during each month of active construction</w:t>
            </w:r>
          </w:p>
        </w:tc>
      </w:tr>
      <w:tr w:rsidR="0049504A" w:rsidRPr="009F4699" w:rsidTr="0049504A">
        <w:tc>
          <w:tcPr>
            <w:tcW w:w="503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9504A" w:rsidRPr="009F4699" w:rsidRDefault="0049504A" w:rsidP="00B63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4699">
              <w:rPr>
                <w:rFonts w:ascii="Arial" w:hAnsi="Arial" w:cs="Arial"/>
                <w:color w:val="000000"/>
                <w:sz w:val="20"/>
                <w:szCs w:val="20"/>
              </w:rPr>
              <w:t>Greater than $20 million and up to $100 million</w:t>
            </w:r>
          </w:p>
        </w:tc>
        <w:tc>
          <w:tcPr>
            <w:tcW w:w="540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9504A" w:rsidRPr="009F4699" w:rsidRDefault="0049504A" w:rsidP="00B63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4699">
              <w:rPr>
                <w:rFonts w:ascii="Arial" w:hAnsi="Arial" w:cs="Arial"/>
                <w:color w:val="000000"/>
                <w:sz w:val="20"/>
                <w:szCs w:val="20"/>
              </w:rPr>
              <w:t>8 interviews during each month of active construction</w:t>
            </w:r>
          </w:p>
        </w:tc>
      </w:tr>
      <w:tr w:rsidR="0049504A" w:rsidRPr="009F4699" w:rsidTr="0049504A">
        <w:tc>
          <w:tcPr>
            <w:tcW w:w="503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9504A" w:rsidRPr="009F4699" w:rsidRDefault="0049504A" w:rsidP="00B63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4699">
              <w:rPr>
                <w:rFonts w:ascii="Arial" w:hAnsi="Arial" w:cs="Arial"/>
                <w:color w:val="000000"/>
                <w:sz w:val="20"/>
                <w:szCs w:val="20"/>
              </w:rPr>
              <w:t>Greater than $100 million and up to $200 million</w:t>
            </w:r>
          </w:p>
        </w:tc>
        <w:tc>
          <w:tcPr>
            <w:tcW w:w="540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9504A" w:rsidRPr="009F4699" w:rsidRDefault="0049504A" w:rsidP="00B63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4699">
              <w:rPr>
                <w:rFonts w:ascii="Arial" w:hAnsi="Arial" w:cs="Arial"/>
                <w:color w:val="000000"/>
                <w:sz w:val="20"/>
                <w:szCs w:val="20"/>
              </w:rPr>
              <w:t>12 interviews during each month of active construction</w:t>
            </w:r>
          </w:p>
        </w:tc>
      </w:tr>
      <w:tr w:rsidR="0049504A" w:rsidRPr="009F4699" w:rsidTr="0049504A">
        <w:tc>
          <w:tcPr>
            <w:tcW w:w="503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9504A" w:rsidRPr="009F4699" w:rsidRDefault="0049504A" w:rsidP="00B63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4699">
              <w:rPr>
                <w:rFonts w:ascii="Arial" w:hAnsi="Arial" w:cs="Arial"/>
                <w:color w:val="000000"/>
                <w:sz w:val="20"/>
                <w:szCs w:val="20"/>
              </w:rPr>
              <w:t>Greater than $200 million and up to $300 million</w:t>
            </w:r>
          </w:p>
        </w:tc>
        <w:tc>
          <w:tcPr>
            <w:tcW w:w="540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9504A" w:rsidRPr="009F4699" w:rsidRDefault="0049504A" w:rsidP="00B63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4699">
              <w:rPr>
                <w:rFonts w:ascii="Arial" w:hAnsi="Arial" w:cs="Arial"/>
                <w:color w:val="000000"/>
                <w:sz w:val="20"/>
                <w:szCs w:val="20"/>
              </w:rPr>
              <w:t>16 interviews during each month of active construction</w:t>
            </w:r>
          </w:p>
        </w:tc>
      </w:tr>
      <w:tr w:rsidR="0049504A" w:rsidRPr="009F4699" w:rsidTr="0049504A">
        <w:tc>
          <w:tcPr>
            <w:tcW w:w="503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9504A" w:rsidRPr="009F4699" w:rsidRDefault="0049504A" w:rsidP="00B63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4699">
              <w:rPr>
                <w:rFonts w:ascii="Arial" w:hAnsi="Arial" w:cs="Arial"/>
                <w:color w:val="000000"/>
                <w:sz w:val="20"/>
                <w:szCs w:val="20"/>
              </w:rPr>
              <w:t>Greater than $300 million</w:t>
            </w:r>
          </w:p>
        </w:tc>
        <w:tc>
          <w:tcPr>
            <w:tcW w:w="540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9504A" w:rsidRPr="009F4699" w:rsidRDefault="0049504A" w:rsidP="00B635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4699">
              <w:rPr>
                <w:rFonts w:ascii="Arial" w:hAnsi="Arial" w:cs="Arial"/>
                <w:color w:val="000000"/>
                <w:sz w:val="20"/>
                <w:szCs w:val="20"/>
              </w:rPr>
              <w:t>20 interviews during each month of active construction</w:t>
            </w:r>
          </w:p>
        </w:tc>
      </w:tr>
    </w:tbl>
    <w:p w:rsidR="002A1123" w:rsidRPr="002A1123" w:rsidRDefault="002A1123" w:rsidP="002A1123">
      <w:pPr>
        <w:rPr>
          <w:rFonts w:ascii="Arial" w:hAnsi="Arial" w:cs="Arial"/>
        </w:rPr>
      </w:pPr>
    </w:p>
    <w:p w:rsidR="002A1123" w:rsidRPr="002A1123" w:rsidRDefault="002A1123" w:rsidP="002A1123">
      <w:pPr>
        <w:rPr>
          <w:rFonts w:ascii="Arial" w:hAnsi="Arial" w:cs="Arial"/>
        </w:rPr>
      </w:pPr>
    </w:p>
    <w:p w:rsidR="002A1123" w:rsidRPr="002A1123" w:rsidRDefault="002A1123" w:rsidP="002A1123">
      <w:pPr>
        <w:rPr>
          <w:rFonts w:ascii="Arial" w:hAnsi="Arial" w:cs="Arial"/>
        </w:rPr>
      </w:pPr>
    </w:p>
    <w:p w:rsidR="002A1123" w:rsidRPr="002A1123" w:rsidRDefault="002A1123" w:rsidP="002A1123">
      <w:pPr>
        <w:rPr>
          <w:rFonts w:ascii="Arial" w:hAnsi="Arial" w:cs="Arial"/>
        </w:rPr>
      </w:pPr>
    </w:p>
    <w:p w:rsidR="002A1123" w:rsidRPr="002A1123" w:rsidRDefault="002A1123" w:rsidP="002A1123">
      <w:pPr>
        <w:rPr>
          <w:rFonts w:ascii="Arial" w:hAnsi="Arial" w:cs="Arial"/>
        </w:rPr>
      </w:pPr>
    </w:p>
    <w:p w:rsidR="002A1123" w:rsidRPr="002A1123" w:rsidRDefault="002A1123" w:rsidP="002A1123">
      <w:pPr>
        <w:rPr>
          <w:rFonts w:ascii="Arial" w:hAnsi="Arial" w:cs="Arial"/>
        </w:rPr>
      </w:pPr>
      <w:r w:rsidRPr="002A1123">
        <w:rPr>
          <w:rFonts w:ascii="Arial" w:hAnsi="Arial" w:cs="Arial"/>
        </w:rPr>
        <w:br w:type="page"/>
      </w:r>
      <w:r w:rsidRPr="002A1123">
        <w:rPr>
          <w:rFonts w:ascii="Arial" w:hAnsi="Arial" w:cs="Arial"/>
        </w:rPr>
        <w:lastRenderedPageBreak/>
        <w:t>Please note, field personnel should prioritize interviews by:</w:t>
      </w:r>
    </w:p>
    <w:p w:rsidR="002A1123" w:rsidRPr="002A1123" w:rsidRDefault="002A1123" w:rsidP="002A1123">
      <w:pPr>
        <w:rPr>
          <w:rFonts w:ascii="Arial" w:hAnsi="Arial" w:cs="Arial"/>
        </w:rPr>
      </w:pPr>
    </w:p>
    <w:p w:rsidR="002A1123" w:rsidRPr="002A1123" w:rsidRDefault="002A1123" w:rsidP="002A1123">
      <w:pPr>
        <w:numPr>
          <w:ilvl w:val="0"/>
          <w:numId w:val="2"/>
        </w:numPr>
        <w:rPr>
          <w:rFonts w:ascii="Arial" w:hAnsi="Arial" w:cs="Arial"/>
        </w:rPr>
      </w:pPr>
      <w:r w:rsidRPr="002A1123">
        <w:rPr>
          <w:rFonts w:ascii="Arial" w:hAnsi="Arial" w:cs="Arial"/>
        </w:rPr>
        <w:t xml:space="preserve">Interviewing women and minorities on the workforce in order to monitor potential discriminatory actions </w:t>
      </w:r>
    </w:p>
    <w:p w:rsidR="002A1123" w:rsidRPr="002A1123" w:rsidRDefault="002A1123" w:rsidP="002A1123">
      <w:pPr>
        <w:numPr>
          <w:ilvl w:val="0"/>
          <w:numId w:val="2"/>
        </w:numPr>
        <w:rPr>
          <w:rFonts w:ascii="Arial" w:hAnsi="Arial" w:cs="Arial"/>
        </w:rPr>
      </w:pPr>
      <w:r w:rsidRPr="002A1123">
        <w:rPr>
          <w:rFonts w:ascii="Arial" w:hAnsi="Arial" w:cs="Arial"/>
        </w:rPr>
        <w:t xml:space="preserve">Rotating the interviews among the prime and subcontractors on the project </w:t>
      </w:r>
    </w:p>
    <w:p w:rsidR="002A1123" w:rsidRPr="002A1123" w:rsidRDefault="002A1123" w:rsidP="002A1123">
      <w:pPr>
        <w:numPr>
          <w:ilvl w:val="0"/>
          <w:numId w:val="2"/>
        </w:numPr>
        <w:rPr>
          <w:rFonts w:ascii="Arial" w:hAnsi="Arial" w:cs="Arial"/>
        </w:rPr>
      </w:pPr>
      <w:r w:rsidRPr="002A1123">
        <w:rPr>
          <w:rFonts w:ascii="Arial" w:hAnsi="Arial" w:cs="Arial"/>
        </w:rPr>
        <w:t>Rotating the interviews among various labor classifications, with emphasis on the more heavily utilized classifications</w:t>
      </w:r>
    </w:p>
    <w:p w:rsidR="002A1123" w:rsidRPr="002A1123" w:rsidRDefault="002A1123" w:rsidP="002A1123">
      <w:pPr>
        <w:rPr>
          <w:rFonts w:ascii="Arial" w:hAnsi="Arial" w:cs="Arial"/>
        </w:rPr>
      </w:pPr>
    </w:p>
    <w:p w:rsidR="002A1123" w:rsidRPr="002A1123" w:rsidRDefault="002A1123" w:rsidP="002A1123">
      <w:pPr>
        <w:rPr>
          <w:rFonts w:ascii="Arial" w:hAnsi="Arial" w:cs="Arial"/>
          <w:bCs/>
        </w:rPr>
      </w:pPr>
      <w:r w:rsidRPr="002A1123">
        <w:rPr>
          <w:rFonts w:ascii="Arial" w:hAnsi="Arial" w:cs="Arial"/>
          <w:bCs/>
        </w:rPr>
        <w:t xml:space="preserve">Questions regarding this process may be referred to the </w:t>
      </w:r>
      <w:r w:rsidRPr="002A1123">
        <w:rPr>
          <w:rFonts w:ascii="Arial" w:hAnsi="Arial" w:cs="Arial"/>
        </w:rPr>
        <w:t>HQ Programs and Project Analysis Unit</w:t>
      </w:r>
      <w:r w:rsidRPr="002A1123">
        <w:rPr>
          <w:rFonts w:ascii="Arial" w:hAnsi="Arial" w:cs="Arial"/>
          <w:bCs/>
        </w:rPr>
        <w:t xml:space="preserve"> at </w:t>
      </w:r>
    </w:p>
    <w:p w:rsidR="002A1123" w:rsidRPr="002A1123" w:rsidRDefault="002A1123" w:rsidP="002A1123">
      <w:pPr>
        <w:rPr>
          <w:rFonts w:ascii="Arial" w:hAnsi="Arial" w:cs="Arial"/>
          <w:bCs/>
        </w:rPr>
      </w:pPr>
      <w:r w:rsidRPr="002A1123">
        <w:rPr>
          <w:rFonts w:ascii="Arial" w:hAnsi="Arial" w:cs="Arial"/>
          <w:bCs/>
        </w:rPr>
        <w:t>303</w:t>
      </w:r>
      <w:r w:rsidR="0049504A">
        <w:rPr>
          <w:rFonts w:ascii="Arial" w:hAnsi="Arial" w:cs="Arial"/>
          <w:bCs/>
        </w:rPr>
        <w:t>-</w:t>
      </w:r>
      <w:r w:rsidRPr="002A1123">
        <w:rPr>
          <w:rFonts w:ascii="Arial" w:hAnsi="Arial" w:cs="Arial"/>
          <w:bCs/>
        </w:rPr>
        <w:t>757-9541.</w:t>
      </w:r>
    </w:p>
    <w:p w:rsidR="002A1123" w:rsidRPr="002A1123" w:rsidRDefault="002A1123" w:rsidP="002A1123">
      <w:pPr>
        <w:rPr>
          <w:rFonts w:ascii="Arial" w:hAnsi="Arial" w:cs="Arial"/>
        </w:rPr>
      </w:pPr>
    </w:p>
    <w:p w:rsidR="002A1123" w:rsidRPr="002A1123" w:rsidRDefault="002A1123" w:rsidP="002A1123">
      <w:pPr>
        <w:rPr>
          <w:rFonts w:ascii="Arial" w:hAnsi="Arial" w:cs="Arial"/>
        </w:rPr>
      </w:pPr>
    </w:p>
    <w:bookmarkStart w:id="1" w:name="_MON_1086522961"/>
    <w:bookmarkStart w:id="2" w:name="_MON_1086533041"/>
    <w:bookmarkStart w:id="3" w:name="_MON_1086533098"/>
    <w:bookmarkStart w:id="4" w:name="_MON_1086533139"/>
    <w:bookmarkStart w:id="5" w:name="_MON_1086533350"/>
    <w:bookmarkStart w:id="6" w:name="_MON_1086533381"/>
    <w:bookmarkStart w:id="7" w:name="_MON_1086533412"/>
    <w:bookmarkStart w:id="8" w:name="_MON_1086533437"/>
    <w:bookmarkStart w:id="9" w:name="_MON_1086534035"/>
    <w:bookmarkStart w:id="10" w:name="_MON_1086534149"/>
    <w:bookmarkStart w:id="11" w:name="_MON_1086534177"/>
    <w:bookmarkStart w:id="12" w:name="_MON_1086534200"/>
    <w:bookmarkStart w:id="13" w:name="_MON_1086534240"/>
    <w:bookmarkStart w:id="14" w:name="_MON_1086534258"/>
    <w:bookmarkStart w:id="15" w:name="_MON_1086534308"/>
    <w:bookmarkStart w:id="16" w:name="_MON_1086534767"/>
    <w:bookmarkStart w:id="17" w:name="_MON_1087018035"/>
    <w:bookmarkStart w:id="18" w:name="_MON_1087018083"/>
    <w:bookmarkStart w:id="19" w:name="_MON_1087018169"/>
    <w:bookmarkStart w:id="20" w:name="_MON_1087018216"/>
    <w:bookmarkStart w:id="21" w:name="_MON_1109046335"/>
    <w:bookmarkStart w:id="22" w:name="_MON_1109046546"/>
    <w:bookmarkStart w:id="23" w:name="_MON_1109046655"/>
    <w:bookmarkStart w:id="24" w:name="_MON_1109047046"/>
    <w:bookmarkStart w:id="25" w:name="_MON_1086521113"/>
    <w:bookmarkStart w:id="26" w:name="_MON_1086521264"/>
    <w:bookmarkStart w:id="27" w:name="_MON_1086521345"/>
    <w:bookmarkStart w:id="28" w:name="_MON_1086521425"/>
    <w:bookmarkStart w:id="29" w:name="_MON_1086521458"/>
    <w:bookmarkStart w:id="30" w:name="_MON_1086521484"/>
    <w:bookmarkStart w:id="31" w:name="_MON_1086521531"/>
    <w:bookmarkStart w:id="32" w:name="_MON_1086521580"/>
    <w:bookmarkStart w:id="33" w:name="_MON_1086521864"/>
    <w:bookmarkStart w:id="34" w:name="_MON_1086521882"/>
    <w:bookmarkStart w:id="35" w:name="_MON_1086522283"/>
    <w:bookmarkStart w:id="36" w:name="_MON_108652288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p w:rsidR="002A1123" w:rsidRPr="002A1123" w:rsidRDefault="002A1123" w:rsidP="002A1123">
      <w:pPr>
        <w:rPr>
          <w:rFonts w:ascii="Arial" w:hAnsi="Arial" w:cs="Arial"/>
          <w:b/>
        </w:rPr>
      </w:pPr>
      <w:r w:rsidRPr="002A1123">
        <w:rPr>
          <w:rFonts w:ascii="Arial" w:hAnsi="Arial" w:cs="Arial"/>
          <w:b/>
        </w:rPr>
        <w:object w:dxaOrig="10509" w:dyaOrig="6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4pt;height:323.4pt" o:ole="">
            <v:imagedata r:id="rId9" o:title=""/>
          </v:shape>
          <o:OLEObject Type="Embed" ProgID="Excel.Sheet.8" ShapeID="_x0000_i1025" DrawAspect="Content" ObjectID="_1421494497" r:id="rId10"/>
        </w:object>
      </w:r>
    </w:p>
    <w:p w:rsidR="002A1123" w:rsidRPr="002A1123" w:rsidRDefault="002A1123" w:rsidP="002A1123">
      <w:pPr>
        <w:rPr>
          <w:rFonts w:ascii="Arial" w:hAnsi="Arial" w:cs="Arial"/>
          <w:b/>
        </w:rPr>
      </w:pPr>
    </w:p>
    <w:p w:rsidR="002A1123" w:rsidRPr="002A1123" w:rsidRDefault="002A1123" w:rsidP="002A1123">
      <w:pPr>
        <w:rPr>
          <w:rFonts w:ascii="Arial" w:hAnsi="Arial" w:cs="Arial"/>
          <w:b/>
        </w:rPr>
      </w:pPr>
    </w:p>
    <w:p w:rsidR="002A1123" w:rsidRPr="002A1123" w:rsidRDefault="002A1123" w:rsidP="002A1123">
      <w:pPr>
        <w:rPr>
          <w:rFonts w:ascii="Arial" w:hAnsi="Arial" w:cs="Arial"/>
          <w:b/>
        </w:rPr>
      </w:pPr>
    </w:p>
    <w:p w:rsidR="002A1123" w:rsidRPr="002A1123" w:rsidRDefault="002A1123" w:rsidP="002A1123">
      <w:pPr>
        <w:rPr>
          <w:rFonts w:ascii="Arial" w:hAnsi="Arial" w:cs="Arial"/>
        </w:rPr>
      </w:pPr>
    </w:p>
    <w:p w:rsidR="002A1123" w:rsidRPr="002A1123" w:rsidRDefault="002A1123" w:rsidP="002A1123">
      <w:pPr>
        <w:rPr>
          <w:rFonts w:ascii="Arial" w:hAnsi="Arial" w:cs="Arial"/>
        </w:rPr>
      </w:pPr>
    </w:p>
    <w:p w:rsidR="002A1123" w:rsidRPr="002A1123" w:rsidRDefault="002A1123" w:rsidP="002A1123">
      <w:pPr>
        <w:rPr>
          <w:rFonts w:ascii="Arial" w:hAnsi="Arial" w:cs="Arial"/>
        </w:rPr>
      </w:pPr>
    </w:p>
    <w:p w:rsidR="002A1123" w:rsidRPr="002A1123" w:rsidRDefault="002A1123" w:rsidP="002A1123">
      <w:pPr>
        <w:rPr>
          <w:rFonts w:ascii="Arial" w:hAnsi="Arial" w:cs="Arial"/>
        </w:rPr>
      </w:pPr>
    </w:p>
    <w:p w:rsidR="002A1123" w:rsidRPr="002A1123" w:rsidRDefault="002A1123" w:rsidP="002A1123">
      <w:pPr>
        <w:rPr>
          <w:rFonts w:ascii="Arial" w:hAnsi="Arial" w:cs="Arial"/>
        </w:rPr>
      </w:pPr>
    </w:p>
    <w:p w:rsidR="002A1123" w:rsidRPr="002A1123" w:rsidRDefault="002A1123" w:rsidP="002A1123">
      <w:pPr>
        <w:rPr>
          <w:rFonts w:ascii="Arial" w:hAnsi="Arial" w:cs="Arial"/>
        </w:rPr>
      </w:pPr>
    </w:p>
    <w:p w:rsidR="002A1123" w:rsidRPr="002A1123" w:rsidRDefault="002A1123" w:rsidP="002A1123">
      <w:pPr>
        <w:rPr>
          <w:rFonts w:ascii="Arial" w:hAnsi="Arial" w:cs="Arial"/>
        </w:rPr>
      </w:pPr>
    </w:p>
    <w:bookmarkStart w:id="37" w:name="_MON_1086533511"/>
    <w:bookmarkStart w:id="38" w:name="_MON_1086533544"/>
    <w:bookmarkStart w:id="39" w:name="_MON_1086533555"/>
    <w:bookmarkStart w:id="40" w:name="_MON_1086534131"/>
    <w:bookmarkStart w:id="41" w:name="_MON_1086534273"/>
    <w:bookmarkStart w:id="42" w:name="_MON_1086534317"/>
    <w:bookmarkStart w:id="43" w:name="_MON_1086534336"/>
    <w:bookmarkStart w:id="44" w:name="_MON_1086534378"/>
    <w:bookmarkStart w:id="45" w:name="_MON_1086534495"/>
    <w:bookmarkStart w:id="46" w:name="_MON_1087018156"/>
    <w:bookmarkStart w:id="47" w:name="_MON_1086533481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:rsidR="002A1123" w:rsidRPr="002A1123" w:rsidRDefault="002A1123" w:rsidP="002A1123">
      <w:pPr>
        <w:rPr>
          <w:rFonts w:ascii="Arial" w:hAnsi="Arial" w:cs="Arial"/>
        </w:rPr>
      </w:pPr>
      <w:r w:rsidRPr="002A1123">
        <w:rPr>
          <w:rFonts w:ascii="Arial" w:hAnsi="Arial" w:cs="Arial"/>
        </w:rPr>
        <w:object w:dxaOrig="8855" w:dyaOrig="5831">
          <v:shape id="_x0000_i1026" type="#_x0000_t75" style="width:443.4pt;height:291.6pt" o:ole="">
            <v:imagedata r:id="rId11" o:title=""/>
          </v:shape>
          <o:OLEObject Type="Embed" ProgID="Excel.Sheet.8" ShapeID="_x0000_i1026" DrawAspect="Content" ObjectID="_1421494498" r:id="rId12"/>
        </w:object>
      </w:r>
    </w:p>
    <w:p w:rsidR="002A1123" w:rsidRPr="002A1123" w:rsidRDefault="002A1123" w:rsidP="002A1123">
      <w:pPr>
        <w:rPr>
          <w:rFonts w:ascii="Arial" w:hAnsi="Arial" w:cs="Arial"/>
          <w:b/>
        </w:rPr>
      </w:pPr>
    </w:p>
    <w:p w:rsidR="002A1123" w:rsidRPr="002A1123" w:rsidRDefault="002A1123" w:rsidP="002A1123">
      <w:pPr>
        <w:rPr>
          <w:rFonts w:ascii="Arial" w:hAnsi="Arial" w:cs="Arial"/>
          <w:b/>
        </w:rPr>
      </w:pPr>
    </w:p>
    <w:p w:rsidR="00164E4F" w:rsidRPr="008273C3" w:rsidRDefault="00164E4F" w:rsidP="00164E4F">
      <w:pPr>
        <w:rPr>
          <w:rFonts w:ascii="Arial" w:hAnsi="Arial" w:cs="Arial"/>
        </w:rPr>
      </w:pPr>
    </w:p>
    <w:p w:rsidR="00164E4F" w:rsidRPr="00807E71" w:rsidRDefault="00164E4F" w:rsidP="00164E4F">
      <w:pPr>
        <w:spacing w:after="120" w:line="247" w:lineRule="auto"/>
        <w:rPr>
          <w:rFonts w:ascii="Arial" w:hAnsi="Arial" w:cs="Arial"/>
        </w:rPr>
      </w:pPr>
      <w:r w:rsidRPr="00807E71">
        <w:rPr>
          <w:rFonts w:ascii="Arial" w:hAnsi="Arial" w:cs="Arial"/>
        </w:rPr>
        <w:t xml:space="preserve">Please print a copy of this bulletin and keep it with your copy of the </w:t>
      </w:r>
      <w:r w:rsidRPr="00807E71">
        <w:rPr>
          <w:rFonts w:ascii="Arial" w:hAnsi="Arial" w:cs="Arial"/>
          <w:i/>
        </w:rPr>
        <w:t>Construction Manual</w:t>
      </w:r>
      <w:r w:rsidRPr="00807E71">
        <w:rPr>
          <w:rFonts w:ascii="Arial" w:hAnsi="Arial" w:cs="Arial"/>
        </w:rPr>
        <w:t>.</w:t>
      </w:r>
    </w:p>
    <w:p w:rsidR="00164E4F" w:rsidRPr="00807E71" w:rsidRDefault="00164E4F" w:rsidP="00164E4F">
      <w:pPr>
        <w:spacing w:after="120" w:line="247" w:lineRule="auto"/>
        <w:rPr>
          <w:rFonts w:ascii="Arial" w:hAnsi="Arial" w:cs="Arial"/>
        </w:rPr>
      </w:pPr>
      <w:r w:rsidRPr="00807E71">
        <w:rPr>
          <w:rFonts w:ascii="Arial" w:hAnsi="Arial" w:cs="Arial"/>
        </w:rPr>
        <w:t>If you have questions, please contact your Area Engineer.</w:t>
      </w:r>
    </w:p>
    <w:p w:rsidR="00164E4F" w:rsidRPr="00807E71" w:rsidRDefault="00164E4F" w:rsidP="00164E4F">
      <w:pPr>
        <w:spacing w:after="120" w:line="247" w:lineRule="auto"/>
        <w:rPr>
          <w:rFonts w:ascii="Arial" w:hAnsi="Arial" w:cs="Arial"/>
        </w:rPr>
      </w:pPr>
      <w:r w:rsidRPr="00807E71">
        <w:rPr>
          <w:rFonts w:ascii="Arial" w:hAnsi="Arial" w:cs="Arial"/>
        </w:rPr>
        <w:t xml:space="preserve">The </w:t>
      </w:r>
      <w:r w:rsidRPr="00807E71">
        <w:rPr>
          <w:rFonts w:ascii="Arial" w:hAnsi="Arial" w:cs="Arial"/>
          <w:i/>
        </w:rPr>
        <w:t>Construction Manual</w:t>
      </w:r>
      <w:r w:rsidRPr="00807E71">
        <w:rPr>
          <w:rFonts w:ascii="Arial" w:hAnsi="Arial" w:cs="Arial"/>
        </w:rPr>
        <w:t xml:space="preserve"> and Construction Bulletins can be found on the Design and Construction Project Support web page at: </w:t>
      </w:r>
    </w:p>
    <w:p w:rsidR="00164E4F" w:rsidRPr="00807E71" w:rsidRDefault="003A4D2E" w:rsidP="00164E4F">
      <w:pPr>
        <w:spacing w:after="120" w:line="247" w:lineRule="auto"/>
        <w:rPr>
          <w:rFonts w:ascii="Arial" w:hAnsi="Arial" w:cs="Arial"/>
        </w:rPr>
      </w:pPr>
      <w:hyperlink r:id="rId13" w:history="1">
        <w:r w:rsidR="00164E4F" w:rsidRPr="00807E71">
          <w:rPr>
            <w:rStyle w:val="Hyperlink"/>
            <w:rFonts w:ascii="Arial" w:hAnsi="Arial" w:cs="Arial"/>
          </w:rPr>
          <w:t>http://www.coloradodot.info/business/designsupport</w:t>
        </w:r>
      </w:hyperlink>
      <w:r w:rsidR="00164E4F" w:rsidRPr="00807E71">
        <w:rPr>
          <w:rFonts w:ascii="Arial" w:hAnsi="Arial" w:cs="Arial"/>
        </w:rPr>
        <w:t xml:space="preserve"> </w:t>
      </w:r>
    </w:p>
    <w:p w:rsidR="00164E4F" w:rsidRPr="00286E4E" w:rsidRDefault="00164E4F" w:rsidP="00164E4F">
      <w:pPr>
        <w:rPr>
          <w:rFonts w:ascii="Arial" w:hAnsi="Arial" w:cs="Arial"/>
        </w:rPr>
      </w:pPr>
    </w:p>
    <w:p w:rsidR="002A1123" w:rsidRPr="002A1123" w:rsidRDefault="002A1123" w:rsidP="002A1123">
      <w:pPr>
        <w:rPr>
          <w:rFonts w:ascii="Arial" w:hAnsi="Arial" w:cs="Arial"/>
          <w:b/>
        </w:rPr>
      </w:pPr>
    </w:p>
    <w:p w:rsidR="009A162B" w:rsidRPr="002A1123" w:rsidRDefault="009A162B">
      <w:pPr>
        <w:rPr>
          <w:rFonts w:ascii="Arial" w:hAnsi="Arial" w:cs="Arial"/>
        </w:rPr>
      </w:pPr>
    </w:p>
    <w:sectPr w:rsidR="009A162B" w:rsidRPr="002A1123" w:rsidSect="00F71829">
      <w:head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2E" w:rsidRDefault="003A4D2E">
      <w:r>
        <w:separator/>
      </w:r>
    </w:p>
  </w:endnote>
  <w:endnote w:type="continuationSeparator" w:id="0">
    <w:p w:rsidR="003A4D2E" w:rsidRDefault="003A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2E" w:rsidRDefault="003A4D2E">
      <w:r>
        <w:separator/>
      </w:r>
    </w:p>
  </w:footnote>
  <w:footnote w:type="continuationSeparator" w:id="0">
    <w:p w:rsidR="003A4D2E" w:rsidRDefault="003A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ook w:val="04A0" w:firstRow="1" w:lastRow="0" w:firstColumn="1" w:lastColumn="0" w:noHBand="0" w:noVBand="1"/>
    </w:tblPr>
    <w:tblGrid>
      <w:gridCol w:w="3168"/>
      <w:gridCol w:w="2430"/>
      <w:gridCol w:w="4698"/>
    </w:tblGrid>
    <w:tr w:rsidR="00350552" w:rsidTr="00350552">
      <w:tc>
        <w:tcPr>
          <w:tcW w:w="3168" w:type="dxa"/>
          <w:vAlign w:val="center"/>
        </w:tcPr>
        <w:p w:rsidR="00F71829" w:rsidRDefault="003957C4" w:rsidP="00AF44E2">
          <w:pPr>
            <w:jc w:val="center"/>
          </w:pPr>
          <w:r w:rsidRPr="00AF44E2">
            <w:rPr>
              <w:sz w:val="23"/>
              <w:szCs w:val="23"/>
            </w:rPr>
            <w:object w:dxaOrig="1617" w:dyaOrig="9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81pt;height:45.6pt" o:ole="" fillcolor="window">
                <v:imagedata r:id="rId1" o:title=""/>
              </v:shape>
              <o:OLEObject Type="Embed" ProgID="Word.Picture.8" ShapeID="_x0000_i1027" DrawAspect="Content" ObjectID="_1421494499" r:id="rId2"/>
            </w:object>
          </w:r>
        </w:p>
      </w:tc>
      <w:tc>
        <w:tcPr>
          <w:tcW w:w="7128" w:type="dxa"/>
          <w:gridSpan w:val="2"/>
          <w:vAlign w:val="center"/>
        </w:tcPr>
        <w:p w:rsidR="00F71829" w:rsidRDefault="003957C4" w:rsidP="00AF44E2">
          <w:pPr>
            <w:jc w:val="center"/>
          </w:pPr>
          <w:r w:rsidRPr="00AF44E2">
            <w:rPr>
              <w:rFonts w:ascii="Impact" w:hAnsi="Impact"/>
              <w:sz w:val="69"/>
              <w:szCs w:val="69"/>
            </w:rPr>
            <w:t>CONSTRUCTION BULLETIN</w:t>
          </w:r>
        </w:p>
      </w:tc>
    </w:tr>
    <w:tr w:rsidR="003957C4" w:rsidTr="00B57C04">
      <w:trPr>
        <w:cantSplit/>
        <w:trHeight w:val="144"/>
      </w:trPr>
      <w:tc>
        <w:tcPr>
          <w:tcW w:w="10296" w:type="dxa"/>
          <w:gridSpan w:val="3"/>
        </w:tcPr>
        <w:p w:rsidR="003957C4" w:rsidRDefault="003957C4" w:rsidP="00F71829"/>
      </w:tc>
    </w:tr>
    <w:tr w:rsidR="003957C4" w:rsidRPr="00AF44E2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3957C4" w:rsidRPr="00AF44E2" w:rsidRDefault="003957C4" w:rsidP="003957C4">
          <w:pPr>
            <w:rPr>
              <w:rFonts w:ascii="Arial" w:hAnsi="Arial" w:cs="Arial"/>
              <w:b/>
            </w:rPr>
          </w:pPr>
          <w:r w:rsidRPr="00AF44E2">
            <w:rPr>
              <w:rFonts w:ascii="Arial" w:hAnsi="Arial" w:cs="Arial"/>
              <w:b/>
              <w:sz w:val="23"/>
              <w:szCs w:val="23"/>
            </w:rPr>
            <w:t>Colorado Department of Transportation</w:t>
          </w:r>
        </w:p>
      </w:tc>
      <w:tc>
        <w:tcPr>
          <w:tcW w:w="4698" w:type="dxa"/>
          <w:vAlign w:val="center"/>
        </w:tcPr>
        <w:p w:rsidR="003957C4" w:rsidRPr="00AF44E2" w:rsidRDefault="002A1123" w:rsidP="00692BDF">
          <w:pPr>
            <w:rPr>
              <w:rFonts w:ascii="Arial" w:hAnsi="Arial" w:cs="Arial"/>
              <w:b/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CDOT Form 280</w:t>
          </w:r>
        </w:p>
      </w:tc>
    </w:tr>
    <w:tr w:rsidR="00D90A35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F71829" w:rsidRPr="00AF44E2" w:rsidRDefault="003957C4" w:rsidP="003957C4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>Project Development Branch</w:t>
          </w:r>
        </w:p>
      </w:tc>
      <w:tc>
        <w:tcPr>
          <w:tcW w:w="4698" w:type="dxa"/>
          <w:vAlign w:val="center"/>
        </w:tcPr>
        <w:p w:rsidR="00F71829" w:rsidRPr="00AF44E2" w:rsidRDefault="003957C4" w:rsidP="00591018">
          <w:pPr>
            <w:rPr>
              <w:rFonts w:ascii="Arial" w:hAnsi="Arial" w:cs="Arial"/>
              <w:sz w:val="23"/>
              <w:szCs w:val="23"/>
            </w:rPr>
          </w:pPr>
          <w:r w:rsidRPr="00AF44E2">
            <w:rPr>
              <w:rFonts w:ascii="Arial" w:hAnsi="Arial" w:cs="Arial"/>
              <w:sz w:val="23"/>
              <w:szCs w:val="23"/>
            </w:rPr>
            <w:t>20</w:t>
          </w:r>
          <w:r w:rsidR="004A6361">
            <w:rPr>
              <w:rFonts w:ascii="Arial" w:hAnsi="Arial" w:cs="Arial"/>
              <w:sz w:val="23"/>
              <w:szCs w:val="23"/>
            </w:rPr>
            <w:t>1</w:t>
          </w:r>
          <w:r w:rsidR="00BA64BB">
            <w:rPr>
              <w:rFonts w:ascii="Arial" w:hAnsi="Arial" w:cs="Arial"/>
              <w:sz w:val="23"/>
              <w:szCs w:val="23"/>
            </w:rPr>
            <w:t xml:space="preserve">3 </w:t>
          </w:r>
          <w:r w:rsidRPr="00AF44E2">
            <w:rPr>
              <w:rFonts w:ascii="Arial" w:hAnsi="Arial" w:cs="Arial"/>
              <w:sz w:val="23"/>
              <w:szCs w:val="23"/>
            </w:rPr>
            <w:t xml:space="preserve">Number </w:t>
          </w:r>
          <w:r w:rsidR="002A1123">
            <w:rPr>
              <w:rFonts w:ascii="Arial" w:hAnsi="Arial" w:cs="Arial"/>
              <w:sz w:val="23"/>
              <w:szCs w:val="23"/>
            </w:rPr>
            <w:t>2</w:t>
          </w:r>
          <w:r w:rsidRPr="00AF44E2">
            <w:rPr>
              <w:rFonts w:ascii="Arial" w:hAnsi="Arial" w:cs="Arial"/>
              <w:sz w:val="23"/>
              <w:szCs w:val="23"/>
            </w:rPr>
            <w:t xml:space="preserve">, </w:t>
          </w:r>
          <w:r w:rsidR="008466B8" w:rsidRPr="008466B8">
            <w:rPr>
              <w:rFonts w:ascii="Arial" w:hAnsi="Arial" w:cs="Arial"/>
              <w:sz w:val="23"/>
              <w:szCs w:val="23"/>
            </w:rPr>
            <w:t xml:space="preserve">Page </w: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begin"/>
          </w:r>
          <w:r w:rsidR="008466B8" w:rsidRPr="008466B8">
            <w:rPr>
              <w:rFonts w:ascii="Arial" w:hAnsi="Arial" w:cs="Arial"/>
              <w:sz w:val="23"/>
              <w:szCs w:val="23"/>
            </w:rPr>
            <w:instrText xml:space="preserve"> PAGE  \* Arabic  \* MERGEFORMAT </w:instrTex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separate"/>
          </w:r>
          <w:r w:rsidR="0086027E">
            <w:rPr>
              <w:rFonts w:ascii="Arial" w:hAnsi="Arial" w:cs="Arial"/>
              <w:noProof/>
              <w:sz w:val="23"/>
              <w:szCs w:val="23"/>
            </w:rPr>
            <w:t>1</w: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end"/>
          </w:r>
          <w:r w:rsidR="008466B8" w:rsidRPr="008466B8">
            <w:rPr>
              <w:rFonts w:ascii="Arial" w:hAnsi="Arial" w:cs="Arial"/>
              <w:sz w:val="23"/>
              <w:szCs w:val="23"/>
            </w:rPr>
            <w:t xml:space="preserve"> of </w: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begin"/>
          </w:r>
          <w:r w:rsidR="008466B8" w:rsidRPr="008466B8">
            <w:rPr>
              <w:rFonts w:ascii="Arial" w:hAnsi="Arial" w:cs="Arial"/>
              <w:sz w:val="23"/>
              <w:szCs w:val="23"/>
            </w:rPr>
            <w:instrText xml:space="preserve"> NUMPAGES  \* Arabic  \* MERGEFORMAT </w:instrTex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separate"/>
          </w:r>
          <w:r w:rsidR="0086027E">
            <w:rPr>
              <w:rFonts w:ascii="Arial" w:hAnsi="Arial" w:cs="Arial"/>
              <w:noProof/>
              <w:sz w:val="23"/>
              <w:szCs w:val="23"/>
            </w:rPr>
            <w:t>3</w:t>
          </w:r>
          <w:r w:rsidR="008466B8" w:rsidRPr="008466B8">
            <w:rPr>
              <w:rFonts w:ascii="Arial" w:hAnsi="Arial" w:cs="Arial"/>
              <w:sz w:val="23"/>
              <w:szCs w:val="23"/>
            </w:rPr>
            <w:fldChar w:fldCharType="end"/>
          </w:r>
        </w:p>
      </w:tc>
    </w:tr>
    <w:tr w:rsidR="00D90A35" w:rsidTr="001827E1">
      <w:trPr>
        <w:cantSplit/>
        <w:trHeight w:val="288"/>
      </w:trPr>
      <w:tc>
        <w:tcPr>
          <w:tcW w:w="5598" w:type="dxa"/>
          <w:gridSpan w:val="2"/>
          <w:vAlign w:val="center"/>
        </w:tcPr>
        <w:p w:rsidR="00F71829" w:rsidRDefault="00F71829" w:rsidP="003957C4"/>
      </w:tc>
      <w:tc>
        <w:tcPr>
          <w:tcW w:w="4698" w:type="dxa"/>
          <w:vAlign w:val="center"/>
        </w:tcPr>
        <w:p w:rsidR="00F71829" w:rsidRPr="00AF44E2" w:rsidRDefault="003957C4" w:rsidP="00BE4E58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 xml:space="preserve">Date: </w:t>
          </w:r>
          <w:r w:rsidR="00321AEC">
            <w:rPr>
              <w:rFonts w:ascii="Arial" w:hAnsi="Arial" w:cs="Arial"/>
              <w:sz w:val="23"/>
              <w:szCs w:val="23"/>
            </w:rPr>
            <w:t xml:space="preserve">February </w:t>
          </w:r>
          <w:r w:rsidR="00BE4E58">
            <w:rPr>
              <w:rFonts w:ascii="Arial" w:hAnsi="Arial" w:cs="Arial"/>
              <w:sz w:val="23"/>
              <w:szCs w:val="23"/>
            </w:rPr>
            <w:t>4</w:t>
          </w:r>
          <w:r w:rsidR="004A6361">
            <w:rPr>
              <w:rFonts w:ascii="Arial" w:hAnsi="Arial" w:cs="Arial"/>
              <w:sz w:val="23"/>
              <w:szCs w:val="23"/>
            </w:rPr>
            <w:t>, 201</w:t>
          </w:r>
          <w:r w:rsidR="00BA64BB">
            <w:rPr>
              <w:rFonts w:ascii="Arial" w:hAnsi="Arial" w:cs="Arial"/>
              <w:sz w:val="23"/>
              <w:szCs w:val="23"/>
            </w:rPr>
            <w:t>3</w:t>
          </w:r>
        </w:p>
      </w:tc>
    </w:tr>
  </w:tbl>
  <w:p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3A6"/>
    <w:multiLevelType w:val="hybridMultilevel"/>
    <w:tmpl w:val="C63E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E7589"/>
    <w:multiLevelType w:val="hybridMultilevel"/>
    <w:tmpl w:val="BC405C38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D"/>
    <w:rsid w:val="000177FB"/>
    <w:rsid w:val="000447B4"/>
    <w:rsid w:val="000712D1"/>
    <w:rsid w:val="00086635"/>
    <w:rsid w:val="000961E2"/>
    <w:rsid w:val="000B7913"/>
    <w:rsid w:val="000D705A"/>
    <w:rsid w:val="00117EF7"/>
    <w:rsid w:val="001347F4"/>
    <w:rsid w:val="00147049"/>
    <w:rsid w:val="001551B8"/>
    <w:rsid w:val="00161391"/>
    <w:rsid w:val="00164E4F"/>
    <w:rsid w:val="00180C7A"/>
    <w:rsid w:val="001827E1"/>
    <w:rsid w:val="00195856"/>
    <w:rsid w:val="001A29E6"/>
    <w:rsid w:val="001A49FD"/>
    <w:rsid w:val="001A6445"/>
    <w:rsid w:val="001A7645"/>
    <w:rsid w:val="001A7BFF"/>
    <w:rsid w:val="001C1A9A"/>
    <w:rsid w:val="001E36D0"/>
    <w:rsid w:val="001F343D"/>
    <w:rsid w:val="002022FF"/>
    <w:rsid w:val="002117EA"/>
    <w:rsid w:val="0023781A"/>
    <w:rsid w:val="00237FB1"/>
    <w:rsid w:val="002423EE"/>
    <w:rsid w:val="00250962"/>
    <w:rsid w:val="00255AA3"/>
    <w:rsid w:val="00287CF6"/>
    <w:rsid w:val="002A1123"/>
    <w:rsid w:val="002B0D6A"/>
    <w:rsid w:val="002B248F"/>
    <w:rsid w:val="002B630E"/>
    <w:rsid w:val="002C73B7"/>
    <w:rsid w:val="002E0895"/>
    <w:rsid w:val="002E2418"/>
    <w:rsid w:val="002F1DCB"/>
    <w:rsid w:val="00300AC5"/>
    <w:rsid w:val="0030639F"/>
    <w:rsid w:val="00310F9C"/>
    <w:rsid w:val="00316788"/>
    <w:rsid w:val="00321AEC"/>
    <w:rsid w:val="0033511D"/>
    <w:rsid w:val="00350552"/>
    <w:rsid w:val="00354A5D"/>
    <w:rsid w:val="003617C6"/>
    <w:rsid w:val="00370523"/>
    <w:rsid w:val="00370784"/>
    <w:rsid w:val="003866FD"/>
    <w:rsid w:val="003957C4"/>
    <w:rsid w:val="003A08B6"/>
    <w:rsid w:val="003A4D2E"/>
    <w:rsid w:val="003B3067"/>
    <w:rsid w:val="003E382A"/>
    <w:rsid w:val="003F745F"/>
    <w:rsid w:val="0041573E"/>
    <w:rsid w:val="00415ACD"/>
    <w:rsid w:val="00416F0E"/>
    <w:rsid w:val="0046127A"/>
    <w:rsid w:val="004904DC"/>
    <w:rsid w:val="00491227"/>
    <w:rsid w:val="0049382B"/>
    <w:rsid w:val="0049504A"/>
    <w:rsid w:val="004A6361"/>
    <w:rsid w:val="004C4A81"/>
    <w:rsid w:val="004D3DC4"/>
    <w:rsid w:val="004D5EE1"/>
    <w:rsid w:val="004E0172"/>
    <w:rsid w:val="0050317B"/>
    <w:rsid w:val="00523D1B"/>
    <w:rsid w:val="0054092E"/>
    <w:rsid w:val="005510A6"/>
    <w:rsid w:val="005648BD"/>
    <w:rsid w:val="005672F2"/>
    <w:rsid w:val="00575191"/>
    <w:rsid w:val="00591018"/>
    <w:rsid w:val="005A4278"/>
    <w:rsid w:val="005A64CC"/>
    <w:rsid w:val="005B1A34"/>
    <w:rsid w:val="005B2A38"/>
    <w:rsid w:val="005D642C"/>
    <w:rsid w:val="005E6E66"/>
    <w:rsid w:val="005F5B5C"/>
    <w:rsid w:val="005F6152"/>
    <w:rsid w:val="0060251D"/>
    <w:rsid w:val="006043F4"/>
    <w:rsid w:val="0061107C"/>
    <w:rsid w:val="006154F0"/>
    <w:rsid w:val="006174E5"/>
    <w:rsid w:val="00637C36"/>
    <w:rsid w:val="00637F1C"/>
    <w:rsid w:val="0064689C"/>
    <w:rsid w:val="00663EC8"/>
    <w:rsid w:val="00692BDF"/>
    <w:rsid w:val="006A6C30"/>
    <w:rsid w:val="006C32E6"/>
    <w:rsid w:val="006E116F"/>
    <w:rsid w:val="006E4B5D"/>
    <w:rsid w:val="006E4CDF"/>
    <w:rsid w:val="0072538C"/>
    <w:rsid w:val="0072571E"/>
    <w:rsid w:val="007353DA"/>
    <w:rsid w:val="007428D8"/>
    <w:rsid w:val="007578C8"/>
    <w:rsid w:val="0076005A"/>
    <w:rsid w:val="00773F71"/>
    <w:rsid w:val="00774F2C"/>
    <w:rsid w:val="007974AA"/>
    <w:rsid w:val="007B2FE6"/>
    <w:rsid w:val="007C1108"/>
    <w:rsid w:val="007D63AF"/>
    <w:rsid w:val="00807E71"/>
    <w:rsid w:val="008273C3"/>
    <w:rsid w:val="008378E4"/>
    <w:rsid w:val="00837D1A"/>
    <w:rsid w:val="008466B8"/>
    <w:rsid w:val="00852856"/>
    <w:rsid w:val="0086027E"/>
    <w:rsid w:val="008624C5"/>
    <w:rsid w:val="00866041"/>
    <w:rsid w:val="00884C02"/>
    <w:rsid w:val="00890686"/>
    <w:rsid w:val="00894F26"/>
    <w:rsid w:val="008B3921"/>
    <w:rsid w:val="008B5C34"/>
    <w:rsid w:val="008D0F21"/>
    <w:rsid w:val="008D2E15"/>
    <w:rsid w:val="008D4EE1"/>
    <w:rsid w:val="008E2D23"/>
    <w:rsid w:val="008F152F"/>
    <w:rsid w:val="008F3E7E"/>
    <w:rsid w:val="00912BB2"/>
    <w:rsid w:val="009318C5"/>
    <w:rsid w:val="0093720C"/>
    <w:rsid w:val="0094203F"/>
    <w:rsid w:val="00956916"/>
    <w:rsid w:val="009577E6"/>
    <w:rsid w:val="009A162B"/>
    <w:rsid w:val="009B7495"/>
    <w:rsid w:val="009C311A"/>
    <w:rsid w:val="009F77C2"/>
    <w:rsid w:val="00A04D93"/>
    <w:rsid w:val="00A3379D"/>
    <w:rsid w:val="00A44F28"/>
    <w:rsid w:val="00A85776"/>
    <w:rsid w:val="00A94CB9"/>
    <w:rsid w:val="00A95E8E"/>
    <w:rsid w:val="00AB323D"/>
    <w:rsid w:val="00AC0905"/>
    <w:rsid w:val="00AE0F7F"/>
    <w:rsid w:val="00AF44E2"/>
    <w:rsid w:val="00B03B17"/>
    <w:rsid w:val="00B43010"/>
    <w:rsid w:val="00B57C04"/>
    <w:rsid w:val="00B74599"/>
    <w:rsid w:val="00B82CDC"/>
    <w:rsid w:val="00BA0A64"/>
    <w:rsid w:val="00BA64BB"/>
    <w:rsid w:val="00BA767D"/>
    <w:rsid w:val="00BE4E58"/>
    <w:rsid w:val="00BE4FC3"/>
    <w:rsid w:val="00C140D9"/>
    <w:rsid w:val="00C34EE3"/>
    <w:rsid w:val="00C4036A"/>
    <w:rsid w:val="00C6578C"/>
    <w:rsid w:val="00C666B8"/>
    <w:rsid w:val="00C808FC"/>
    <w:rsid w:val="00C9547A"/>
    <w:rsid w:val="00CC19C5"/>
    <w:rsid w:val="00CC3E68"/>
    <w:rsid w:val="00CC4699"/>
    <w:rsid w:val="00CC4EAE"/>
    <w:rsid w:val="00CD2340"/>
    <w:rsid w:val="00CD5F54"/>
    <w:rsid w:val="00CF0DD1"/>
    <w:rsid w:val="00CF239F"/>
    <w:rsid w:val="00D22466"/>
    <w:rsid w:val="00D24DB1"/>
    <w:rsid w:val="00D25F9E"/>
    <w:rsid w:val="00D31C78"/>
    <w:rsid w:val="00D327B3"/>
    <w:rsid w:val="00D4320B"/>
    <w:rsid w:val="00D55B83"/>
    <w:rsid w:val="00D7165B"/>
    <w:rsid w:val="00D8461B"/>
    <w:rsid w:val="00D90A35"/>
    <w:rsid w:val="00D95B86"/>
    <w:rsid w:val="00DC22ED"/>
    <w:rsid w:val="00DC38AD"/>
    <w:rsid w:val="00DC7684"/>
    <w:rsid w:val="00DD3F01"/>
    <w:rsid w:val="00DE0268"/>
    <w:rsid w:val="00E048F2"/>
    <w:rsid w:val="00E16A12"/>
    <w:rsid w:val="00E536F3"/>
    <w:rsid w:val="00E76EB5"/>
    <w:rsid w:val="00E85DCC"/>
    <w:rsid w:val="00EA3C6F"/>
    <w:rsid w:val="00EB5A5E"/>
    <w:rsid w:val="00EC57B5"/>
    <w:rsid w:val="00EF56A2"/>
    <w:rsid w:val="00F013FC"/>
    <w:rsid w:val="00F04725"/>
    <w:rsid w:val="00F052B1"/>
    <w:rsid w:val="00F201DE"/>
    <w:rsid w:val="00F37BD3"/>
    <w:rsid w:val="00F4227C"/>
    <w:rsid w:val="00F537AE"/>
    <w:rsid w:val="00F60D8C"/>
    <w:rsid w:val="00F6390F"/>
    <w:rsid w:val="00F71829"/>
    <w:rsid w:val="00F806F9"/>
    <w:rsid w:val="00F82BBB"/>
    <w:rsid w:val="00FB3825"/>
    <w:rsid w:val="00FB46F6"/>
    <w:rsid w:val="00FC04D9"/>
    <w:rsid w:val="00FD4E24"/>
    <w:rsid w:val="00FE5017"/>
    <w:rsid w:val="00FE65CC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61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1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A1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uiPriority w:val="59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F04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4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725"/>
  </w:style>
  <w:style w:type="paragraph" w:styleId="CommentSubject">
    <w:name w:val="annotation subject"/>
    <w:basedOn w:val="CommentText"/>
    <w:next w:val="CommentText"/>
    <w:link w:val="CommentSubjectChar"/>
    <w:rsid w:val="00F04725"/>
    <w:rPr>
      <w:b/>
      <w:bCs/>
    </w:rPr>
  </w:style>
  <w:style w:type="character" w:customStyle="1" w:styleId="CommentSubjectChar">
    <w:name w:val="Comment Subject Char"/>
    <w:link w:val="CommentSubject"/>
    <w:rsid w:val="00F04725"/>
    <w:rPr>
      <w:b/>
      <w:bCs/>
    </w:rPr>
  </w:style>
  <w:style w:type="character" w:styleId="FollowedHyperlink">
    <w:name w:val="FollowedHyperlink"/>
    <w:rsid w:val="007428D8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A1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2A11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61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1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A1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uiPriority w:val="59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F04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4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725"/>
  </w:style>
  <w:style w:type="paragraph" w:styleId="CommentSubject">
    <w:name w:val="annotation subject"/>
    <w:basedOn w:val="CommentText"/>
    <w:next w:val="CommentText"/>
    <w:link w:val="CommentSubjectChar"/>
    <w:rsid w:val="00F04725"/>
    <w:rPr>
      <w:b/>
      <w:bCs/>
    </w:rPr>
  </w:style>
  <w:style w:type="character" w:customStyle="1" w:styleId="CommentSubjectChar">
    <w:name w:val="Comment Subject Char"/>
    <w:link w:val="CommentSubject"/>
    <w:rsid w:val="00F04725"/>
    <w:rPr>
      <w:b/>
      <w:bCs/>
    </w:rPr>
  </w:style>
  <w:style w:type="character" w:styleId="FollowedHyperlink">
    <w:name w:val="FollowedHyperlink"/>
    <w:rsid w:val="007428D8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A1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2A11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loradodot.info/business/designsuppor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89BC-4B07-45D6-AEA2-45A60EE7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2923</CharactersWithSpaces>
  <SharedDoc>false</SharedDoc>
  <HLinks>
    <vt:vector size="6" baseType="variant">
      <vt:variant>
        <vt:i4>6291496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Louis Avgeris</cp:lastModifiedBy>
  <cp:revision>2</cp:revision>
  <cp:lastPrinted>2012-12-10T15:18:00Z</cp:lastPrinted>
  <dcterms:created xsi:type="dcterms:W3CDTF">2013-02-04T21:49:00Z</dcterms:created>
  <dcterms:modified xsi:type="dcterms:W3CDTF">2013-02-04T21:49:00Z</dcterms:modified>
</cp:coreProperties>
</file>