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B9" w:rsidRDefault="00BC20B9" w:rsidP="00BC20B9">
      <w:pPr>
        <w:rPr>
          <w:sz w:val="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3251"/>
        <w:gridCol w:w="1969"/>
        <w:gridCol w:w="3242"/>
      </w:tblGrid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904741">
            <w:pPr>
              <w:pStyle w:val="Heading1"/>
              <w:tabs>
                <w:tab w:val="center" w:pos="5040"/>
                <w:tab w:val="right" w:pos="9930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ab/>
              <w:t>HOT-MIX ASPHALT QC/QA CONFERENCE AGENDA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  <w:r>
              <w:rPr>
                <w:rFonts w:cs="Arial"/>
                <w:i/>
                <w:iCs/>
                <w:sz w:val="14"/>
              </w:rPr>
              <w:t>The items in the following agenda are minimum requirements that should be covered during the conference. The agenda may be used as is or as a base to develop a customized agenda.</w:t>
            </w: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Project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Resident Engineer: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Project Code (SA):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Project Engineer: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Location: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Contractor: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Date: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Superintendent: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Time: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Foreman: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I. Attendance Roster</w:t>
            </w: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</w:tbl>
    <w:p w:rsidR="00BC20B9" w:rsidRDefault="00BC20B9" w:rsidP="00BC20B9">
      <w:pPr>
        <w:pStyle w:val="CommentText"/>
        <w:spacing w:line="240" w:lineRule="auto"/>
        <w:rPr>
          <w:rFonts w:cs="Arial"/>
          <w:sz w:val="14"/>
          <w:szCs w:val="24"/>
        </w:rPr>
      </w:pPr>
    </w:p>
    <w:p w:rsidR="00BC20B9" w:rsidRDefault="00BC20B9" w:rsidP="00BC20B9">
      <w:pPr>
        <w:jc w:val="center"/>
        <w:rPr>
          <w:sz w:val="14"/>
        </w:rPr>
      </w:pPr>
    </w:p>
    <w:p w:rsidR="00BC20B9" w:rsidRDefault="00BC20B9" w:rsidP="00BC20B9">
      <w:pPr>
        <w:pStyle w:val="CommentText"/>
        <w:spacing w:line="240" w:lineRule="auto"/>
        <w:rPr>
          <w:rFonts w:cs="Arial"/>
          <w:sz w:val="14"/>
          <w:szCs w:val="24"/>
        </w:rPr>
      </w:pPr>
      <w:r>
        <w:rPr>
          <w:rFonts w:cs="Arial"/>
          <w:sz w:val="1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2952"/>
        <w:gridCol w:w="1809"/>
        <w:gridCol w:w="2952"/>
      </w:tblGrid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tabs>
                <w:tab w:val="center" w:pos="5034"/>
                <w:tab w:val="right" w:pos="9191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lastRenderedPageBreak/>
              <w:tab/>
              <w:t>HOT-MIX ASPHALT QC/QA CONFERENCE AGENDA (continued)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  <w:r>
              <w:rPr>
                <w:b/>
                <w:bCs/>
                <w:sz w:val="14"/>
              </w:rPr>
              <w:tab/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I. Attendance Roster (continued)</w:t>
            </w: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Representing: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Street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Cell Number: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1863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City, State, Zip: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C20B9" w:rsidRDefault="00BC20B9" w:rsidP="00D62384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</w:tbl>
    <w:p w:rsidR="00BC20B9" w:rsidRDefault="00BC20B9" w:rsidP="00BC20B9">
      <w:pPr>
        <w:pStyle w:val="CommentText"/>
        <w:spacing w:line="240" w:lineRule="auto"/>
        <w:rPr>
          <w:rFonts w:cs="Arial"/>
          <w:sz w:val="14"/>
          <w:szCs w:val="24"/>
        </w:rPr>
      </w:pPr>
    </w:p>
    <w:p w:rsidR="00BC20B9" w:rsidRDefault="00BC20B9" w:rsidP="00BC20B9">
      <w:pPr>
        <w:jc w:val="center"/>
        <w:rPr>
          <w:sz w:val="14"/>
        </w:rPr>
      </w:pPr>
    </w:p>
    <w:p w:rsidR="00BC20B9" w:rsidRDefault="00BC20B9" w:rsidP="00BC20B9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874"/>
        <w:gridCol w:w="1988"/>
        <w:gridCol w:w="1166"/>
        <w:gridCol w:w="454"/>
        <w:gridCol w:w="1616"/>
        <w:gridCol w:w="543"/>
        <w:gridCol w:w="604"/>
      </w:tblGrid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tabs>
                <w:tab w:val="center" w:pos="5046"/>
                <w:tab w:val="right" w:pos="9191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lastRenderedPageBreak/>
              <w:tab/>
              <w:t>HOT-MIX ASPHALT QC/QA CONFERENCE AGENDA (continued)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II. Project Organization and Status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A. Colorado Department of Transportation Personnel: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1. Project Engineer: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2. Assistant-in-Charge (when personnel identified in A.1 is not present):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3. Project Acceptance Tester: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4. Head Tester: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5. Other: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B. Contractor Personnel: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 Superintendent: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2. Process Control Supervisor: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3. Process Control Tester: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4. Other:</w:t>
            </w: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Name/Title: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Fax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Office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Home Number: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c>
          <w:tcPr>
            <w:tcW w:w="2331" w:type="dxa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Mobile Number: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E-Mail Address:</w:t>
            </w:r>
          </w:p>
        </w:tc>
        <w:tc>
          <w:tcPr>
            <w:tcW w:w="2763" w:type="dxa"/>
            <w:gridSpan w:val="3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C. Distribution of Section 105 and Section 106 of the </w:t>
            </w:r>
            <w:r>
              <w:rPr>
                <w:b/>
                <w:bCs/>
                <w:i/>
                <w:iCs/>
                <w:sz w:val="14"/>
              </w:rPr>
              <w:t>Standard Specifications</w:t>
            </w:r>
            <w:r>
              <w:rPr>
                <w:b/>
                <w:bCs/>
                <w:sz w:val="14"/>
              </w:rPr>
              <w:t>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i/>
                <w:iCs/>
                <w:sz w:val="14"/>
                <w:szCs w:val="24"/>
              </w:rPr>
            </w:pPr>
            <w:r>
              <w:rPr>
                <w:rFonts w:cs="Arial"/>
                <w:i/>
                <w:iCs/>
                <w:sz w:val="14"/>
                <w:szCs w:val="24"/>
              </w:rPr>
              <w:t xml:space="preserve">A minimum of the following personnel should have a copy of Section 105 and Section 106 of the </w:t>
            </w:r>
            <w:r>
              <w:rPr>
                <w:rFonts w:cs="Arial"/>
                <w:sz w:val="14"/>
                <w:szCs w:val="24"/>
              </w:rPr>
              <w:t>Standard Specifications</w:t>
            </w:r>
            <w:r>
              <w:rPr>
                <w:rFonts w:cs="Arial"/>
                <w:i/>
                <w:iCs/>
                <w:sz w:val="14"/>
                <w:szCs w:val="24"/>
              </w:rPr>
              <w:t>:</w:t>
            </w: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Personnel Title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Project Engineer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Project Acceptance Tester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Head Tester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Superintendent 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Process Control Supervisor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Process Control Tester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3205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D. Distribution of QC/QA Software: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Name: </w:t>
            </w: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Version: 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i/>
                <w:iCs/>
                <w:sz w:val="14"/>
                <w:szCs w:val="24"/>
              </w:rPr>
            </w:pPr>
            <w:r>
              <w:rPr>
                <w:rFonts w:cs="Arial"/>
                <w:i/>
                <w:iCs/>
                <w:sz w:val="14"/>
                <w:szCs w:val="24"/>
              </w:rPr>
              <w:t>A minimum of the following personnel should have a copy of the QC/QA software:</w:t>
            </w: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Personnel Title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Project Acceptance Tester 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Head Tester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Process Control Tester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</w:tbl>
    <w:p w:rsidR="00BC20B9" w:rsidRDefault="00BC20B9" w:rsidP="005E3DEB">
      <w:pPr>
        <w:jc w:val="center"/>
        <w:rPr>
          <w:sz w:val="14"/>
        </w:rPr>
      </w:pPr>
    </w:p>
    <w:p w:rsidR="00BC20B9" w:rsidRDefault="00BC20B9" w:rsidP="005E3DEB">
      <w:pPr>
        <w:rPr>
          <w:rFonts w:cs="Arial"/>
          <w:sz w:val="14"/>
        </w:rPr>
      </w:pPr>
    </w:p>
    <w:p w:rsidR="00BC20B9" w:rsidRDefault="00BC20B9" w:rsidP="005E3DEB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6267"/>
        <w:gridCol w:w="545"/>
        <w:gridCol w:w="607"/>
      </w:tblGrid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tabs>
                <w:tab w:val="center" w:pos="5046"/>
                <w:tab w:val="right" w:pos="9178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ab/>
              <w:t>HOT-MIX ASPHALT QC/QA CONFERENCE AGENDA (continued)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III. Process Control Testing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b/>
                <w:bCs/>
                <w:sz w:val="14"/>
                <w:szCs w:val="24"/>
              </w:rPr>
            </w:pPr>
            <w:r>
              <w:rPr>
                <w:rFonts w:cs="Arial"/>
                <w:b/>
                <w:bCs/>
                <w:sz w:val="14"/>
              </w:rPr>
              <w:t>A. Quality Control Plan (QCP):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Has QCP been approved in writing by the Project Engineer?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b/>
                <w:bCs/>
                <w:sz w:val="14"/>
                <w:szCs w:val="24"/>
              </w:rPr>
            </w:pPr>
            <w:r>
              <w:rPr>
                <w:rFonts w:cs="Arial"/>
                <w:b/>
                <w:bCs/>
                <w:sz w:val="14"/>
              </w:rPr>
              <w:t>B. Sampling Frequency: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Does QCP meet minimum random sampling frequency (Table 106-1 of the </w:t>
            </w:r>
            <w:r>
              <w:rPr>
                <w:rFonts w:cs="Arial"/>
                <w:i/>
                <w:iCs/>
                <w:sz w:val="14"/>
                <w:szCs w:val="24"/>
              </w:rPr>
              <w:t>Standard Special Provisions</w:t>
            </w:r>
            <w:r>
              <w:rPr>
                <w:rFonts w:cs="Arial"/>
                <w:sz w:val="14"/>
                <w:szCs w:val="24"/>
              </w:rPr>
              <w:t>)?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2157" w:type="dxa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C. Test Result Chart: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Posting Location: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</w:rPr>
              <w:t>Is the Test Result Chart for each process with tonnage and tolerance limits posted daily at a location convenient for viewing by the Project Engineer?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2157" w:type="dxa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D. Quality Level Chart: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Posting Location: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</w:rPr>
              <w:t xml:space="preserve">Is the Quality Level Chart for each element in Table 106-1 of </w:t>
            </w:r>
            <w:r>
              <w:rPr>
                <w:rFonts w:cs="Arial"/>
                <w:sz w:val="14"/>
                <w:szCs w:val="24"/>
              </w:rPr>
              <w:t xml:space="preserve">the </w:t>
            </w:r>
            <w:r>
              <w:rPr>
                <w:rFonts w:cs="Arial"/>
                <w:i/>
                <w:iCs/>
                <w:sz w:val="14"/>
                <w:szCs w:val="24"/>
              </w:rPr>
              <w:t>Standard Special Provisions</w:t>
            </w:r>
            <w:r>
              <w:rPr>
                <w:rFonts w:cs="Arial"/>
                <w:i/>
                <w:iCs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posted daily at a location convenient for viewing by the Project Engineer?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b/>
                <w:bCs/>
                <w:sz w:val="14"/>
                <w:szCs w:val="24"/>
              </w:rPr>
            </w:pPr>
            <w:r>
              <w:rPr>
                <w:rFonts w:cs="Arial"/>
                <w:b/>
                <w:bCs/>
                <w:sz w:val="14"/>
              </w:rPr>
              <w:t>E. Process Control Supervisor: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1. Is the Process Control Supervisor for process control sampling and testing identified in the QCP?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2. Does the Process Control Supervisor possess one or both of the following qualifications?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ind w:left="180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a. Registration as a Professional Engineer in the State of Colorado?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ind w:left="180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b. Level A, B, and C certifications from the Laboratory for Certification of Asphalt Technicians (LABCAT)?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b/>
                <w:bCs/>
                <w:sz w:val="14"/>
                <w:szCs w:val="24"/>
              </w:rPr>
            </w:pPr>
            <w:r>
              <w:rPr>
                <w:rFonts w:cs="Arial"/>
                <w:b/>
                <w:bCs/>
                <w:sz w:val="14"/>
              </w:rPr>
              <w:t>F. Technicians: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Do technicians taking samples and performing tests possess all of the following qualifications?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1. Technicians taking samples and conducting compaction tests have Level A LABCAT certification?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2. Technicians conducting process control tests have Level B LABCAT certification?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8424" w:type="dxa"/>
            <w:gridSpan w:val="2"/>
            <w:shd w:val="clear" w:color="auto" w:fill="auto"/>
            <w:vAlign w:val="center"/>
          </w:tcPr>
          <w:p w:rsidR="00BC20B9" w:rsidRDefault="00BC20B9" w:rsidP="005E3DEB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 xml:space="preserve">3. Technicians determining mix volumetrics and strength characteristics have Level C LABCAT certification?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C20B9" w:rsidRDefault="00BC20B9" w:rsidP="005E3DEB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Comments: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G. Process Control Test Report: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BC20B9" w:rsidRDefault="00BC20B9" w:rsidP="005E3DEB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Contractor will report the results of the process control tests to the Project Engineer in writing at least once per day. Describe where and when this will be performed:</w:t>
            </w: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  <w:p w:rsidR="00BC20B9" w:rsidRDefault="00BC20B9" w:rsidP="005E3DEB">
            <w:pPr>
              <w:rPr>
                <w:rFonts w:cs="Arial"/>
                <w:sz w:val="14"/>
              </w:rPr>
            </w:pPr>
          </w:p>
        </w:tc>
      </w:tr>
    </w:tbl>
    <w:p w:rsidR="00BC20B9" w:rsidRDefault="00BC20B9" w:rsidP="00BC20B9">
      <w:pPr>
        <w:jc w:val="center"/>
        <w:rPr>
          <w:sz w:val="14"/>
        </w:rPr>
      </w:pPr>
    </w:p>
    <w:p w:rsidR="00BC20B9" w:rsidRDefault="00F360DE" w:rsidP="00BC20B9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00" w:firstRow="0" w:lastRow="0" w:firstColumn="0" w:lastColumn="0" w:noHBand="0" w:noVBand="0"/>
      </w:tblPr>
      <w:tblGrid>
        <w:gridCol w:w="9576"/>
      </w:tblGrid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tabs>
                <w:tab w:val="center" w:pos="5034"/>
                <w:tab w:val="right" w:pos="9191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ab/>
              <w:t>HOT-MIX ASPHALT QC/QA CONFERENCE AGENDA (continued)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IV. Acceptance Testing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Samples for CDOT acceptance testing shall be taken by the Contractor and, when appropriate, shall be reduced to the size designated by the Project Engineer. Comments:</w:t>
            </w: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V. Check Testing Program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A. Check Testing: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Prior to, or in conjunction with, placing the first 500 tons of Hot-Mix Asphalt, a Check Testing Program will be conducted between acceptance testing and process control testing, per subsection 106.0</w:t>
            </w:r>
            <w:r w:rsidR="00957E1E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 xml:space="preserve"> (c) of the </w:t>
            </w:r>
            <w:r>
              <w:rPr>
                <w:rFonts w:ascii="Arial" w:hAnsi="Arial" w:cs="Arial"/>
                <w:i/>
                <w:iCs/>
                <w:sz w:val="14"/>
              </w:rPr>
              <w:t>Standard Specifications</w:t>
            </w:r>
            <w:r>
              <w:rPr>
                <w:rFonts w:ascii="Arial" w:hAnsi="Arial" w:cs="Arial"/>
                <w:sz w:val="14"/>
              </w:rPr>
              <w:t xml:space="preserve">, and compared to the acceptable limits shown in Column 3 of Table 106-1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 w:cs="Arial"/>
                <w:i/>
                <w:iCs/>
                <w:sz w:val="14"/>
              </w:rPr>
              <w:t>al Provisions</w:t>
            </w:r>
            <w:r>
              <w:rPr>
                <w:rFonts w:ascii="Arial" w:hAnsi="Arial" w:cs="Arial"/>
                <w:sz w:val="14"/>
              </w:rPr>
              <w:t>. Comments:</w:t>
            </w: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B. Split Samples: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During production, split samples of randomly selected acceptance tests will be compared to the permissible ranges shown in Table 106-1 of the </w:t>
            </w:r>
            <w:r>
              <w:rPr>
                <w:rFonts w:ascii="Arial" w:hAnsi="Arial" w:cs="Arial"/>
                <w:i/>
                <w:iCs/>
                <w:sz w:val="14"/>
              </w:rPr>
              <w:t>Standard Specifications</w:t>
            </w:r>
            <w:r>
              <w:rPr>
                <w:rFonts w:ascii="Arial" w:hAnsi="Arial" w:cs="Arial"/>
                <w:sz w:val="14"/>
              </w:rPr>
              <w:t xml:space="preserve">. The minimum frequency will be as shown in Table 106-1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 w:cs="Arial"/>
                <w:i/>
                <w:iCs/>
                <w:sz w:val="14"/>
              </w:rPr>
              <w:t>al Provisions</w:t>
            </w:r>
            <w:r>
              <w:rPr>
                <w:rFonts w:ascii="Arial" w:hAnsi="Arial" w:cs="Arial"/>
                <w:sz w:val="14"/>
              </w:rPr>
              <w:t>. Comments:</w:t>
            </w:r>
          </w:p>
          <w:p w:rsidR="00093C28" w:rsidRPr="00144683" w:rsidRDefault="00093C28" w:rsidP="00093C28">
            <w:pPr>
              <w:pStyle w:val="BodyText"/>
              <w:spacing w:after="0"/>
              <w:rPr>
                <w:rFonts w:ascii="Arial" w:hAnsi="Arial" w:cs="Arial"/>
                <w:sz w:val="14"/>
              </w:rPr>
            </w:pPr>
            <w:r w:rsidRPr="00144683">
              <w:rPr>
                <w:rFonts w:ascii="Arial" w:hAnsi="Arial" w:cs="Arial"/>
                <w:sz w:val="14"/>
              </w:rPr>
              <w:t>Additional Items to Discuss and Clarify:</w:t>
            </w:r>
          </w:p>
          <w:p w:rsidR="00093C28" w:rsidRPr="00144683" w:rsidRDefault="00093C28" w:rsidP="00093C2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4"/>
              </w:rPr>
            </w:pPr>
            <w:r w:rsidRPr="00144683">
              <w:rPr>
                <w:rFonts w:ascii="Arial" w:hAnsi="Arial" w:cs="Arial"/>
                <w:sz w:val="14"/>
              </w:rPr>
              <w:t>Asphalt Mix Dispute Lab (per CP 17)? (i.e. Who will be the 3rd party, independent testing lab for dispute resolution?)</w:t>
            </w:r>
          </w:p>
          <w:p w:rsidR="00093C28" w:rsidRPr="00144683" w:rsidRDefault="00093C28" w:rsidP="00093C2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4"/>
              </w:rPr>
            </w:pPr>
            <w:r w:rsidRPr="00144683">
              <w:rPr>
                <w:rFonts w:ascii="Arial" w:hAnsi="Arial" w:cs="Arial"/>
                <w:sz w:val="14"/>
              </w:rPr>
              <w:t xml:space="preserve">Dispute Split Sampling Requirements (CP 17). </w:t>
            </w:r>
          </w:p>
          <w:p w:rsidR="00093C28" w:rsidRPr="00144683" w:rsidRDefault="00093C28" w:rsidP="00093C2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4"/>
              </w:rPr>
            </w:pPr>
            <w:r w:rsidRPr="00144683">
              <w:rPr>
                <w:rFonts w:ascii="Arial" w:hAnsi="Arial" w:cs="Arial"/>
                <w:sz w:val="14"/>
              </w:rPr>
              <w:t xml:space="preserve">CP 17 </w:t>
            </w:r>
            <w:r w:rsidR="00144683" w:rsidRPr="00144683">
              <w:rPr>
                <w:rFonts w:ascii="Arial" w:hAnsi="Arial" w:cs="Arial"/>
                <w:sz w:val="14"/>
              </w:rPr>
              <w:t>Levels</w:t>
            </w:r>
            <w:r w:rsidRPr="00144683">
              <w:rPr>
                <w:rFonts w:ascii="Arial" w:hAnsi="Arial" w:cs="Arial"/>
                <w:sz w:val="14"/>
              </w:rPr>
              <w:t xml:space="preserve"> 1, 2, and 3 Dispute Resolution Process.</w:t>
            </w: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C. Additional Check Testing: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production is suspended and then resumed, the Project Engineer may order a Check Testing Program between process control and acceptance testing personnel to assure the test results are within the permissible ranges. Comments:</w:t>
            </w:r>
          </w:p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</w:p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</w:p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</w:p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VI. Voids in Mineral Aggregate (VMA)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A. Target Values: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After the mix design has been approved and production has commenced, the first three acceptance tests for VMA will be analyzed to verify and establish a target value for VMA. The target value for VMA will be the average of the first three volumetric field test results on project-produced Hot-Mix Asphalt or the target value specified in Table 403-2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/>
                <w:i/>
                <w:iCs/>
                <w:sz w:val="14"/>
              </w:rPr>
              <w:t>al Provisions</w:t>
            </w:r>
            <w:r>
              <w:rPr>
                <w:rFonts w:ascii="Arial" w:hAnsi="Arial"/>
                <w:sz w:val="14"/>
              </w:rPr>
              <w:t>, whichever is higher. Comments:</w:t>
            </w: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rPr>
                <w:rFonts w:cs="Arial"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B. New or Revised Mix Design:</w:t>
            </w:r>
          </w:p>
        </w:tc>
      </w:tr>
      <w:tr w:rsidR="00BC20B9" w:rsidTr="005E3DEB">
        <w:trPr>
          <w:cantSplit/>
        </w:trPr>
        <w:tc>
          <w:tcPr>
            <w:tcW w:w="9576" w:type="dxa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Whenever a new or revised mix design is used and production resumes, the next three acceptance tests will be evaluated and a new target value for VMA will be established. Comments: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</w:tbl>
    <w:p w:rsidR="00BC20B9" w:rsidRDefault="00BC20B9" w:rsidP="00BC20B9">
      <w:pPr>
        <w:jc w:val="center"/>
        <w:rPr>
          <w:sz w:val="14"/>
        </w:rPr>
      </w:pPr>
    </w:p>
    <w:p w:rsidR="00BC20B9" w:rsidRDefault="00F360DE" w:rsidP="00BC20B9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00" w:firstRow="0" w:lastRow="0" w:firstColumn="0" w:lastColumn="0" w:noHBand="0" w:noVBand="0"/>
      </w:tblPr>
      <w:tblGrid>
        <w:gridCol w:w="9461"/>
        <w:gridCol w:w="557"/>
        <w:gridCol w:w="638"/>
      </w:tblGrid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tabs>
                <w:tab w:val="center" w:pos="5034"/>
                <w:tab w:val="right" w:pos="9905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ab/>
              <w:t>HOT-MIX ASPHALT QC/QA CONFERENCE AGENDA (continued)</w:t>
            </w:r>
            <w:r>
              <w:rPr>
                <w:b/>
                <w:bCs/>
                <w:sz w:val="14"/>
              </w:rPr>
              <w:tab/>
            </w:r>
            <w:r w:rsidR="00904741" w:rsidRPr="00144683">
              <w:rPr>
                <w:b/>
                <w:bCs/>
                <w:sz w:val="14"/>
              </w:rPr>
              <w:t>Revised 01-05-2012</w:t>
            </w: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VII. Testing Schedule</w:t>
            </w: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Process control, project acceptance testing, and check testing frequencies shall be in accordance with Table 106-1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/>
                <w:i/>
                <w:iCs/>
                <w:sz w:val="14"/>
              </w:rPr>
              <w:t>al Provisions</w:t>
            </w:r>
            <w:r>
              <w:rPr>
                <w:rFonts w:ascii="Arial" w:hAnsi="Arial"/>
                <w:sz w:val="14"/>
              </w:rPr>
              <w:t>. Comments: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VIII. Reference Conditions</w:t>
            </w: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 “Condition Red” reference condition requires the Contractor to be immediately notified as per subsection 106.0</w:t>
            </w:r>
            <w:r w:rsidR="00957E1E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 xml:space="preserve"> (</w:t>
            </w:r>
            <w:r w:rsidR="00957E1E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>)(</w:t>
            </w:r>
            <w:r w:rsidR="00957E1E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 xml:space="preserve">)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 w:cs="Arial"/>
                <w:i/>
                <w:iCs/>
                <w:sz w:val="14"/>
              </w:rPr>
              <w:t>al Provisions</w:t>
            </w:r>
            <w:r>
              <w:rPr>
                <w:rFonts w:ascii="Arial" w:hAnsi="Arial" w:cs="Arial"/>
                <w:sz w:val="14"/>
              </w:rPr>
              <w:t>. The minimum testing frequency will be increased to 1/250 tons until the Quality Level reaches or exceeds 78. If the Quality Level for the next five process control tests is below 65, production will be suspended. Subsection 106.0</w:t>
            </w:r>
            <w:r w:rsidR="00957E1E"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 xml:space="preserve"> (</w:t>
            </w:r>
            <w:r w:rsidR="008E11E4">
              <w:rPr>
                <w:rFonts w:ascii="Arial" w:hAnsi="Arial" w:cs="Arial"/>
                <w:sz w:val="14"/>
              </w:rPr>
              <w:t>d</w:t>
            </w:r>
            <w:r>
              <w:rPr>
                <w:rFonts w:ascii="Arial" w:hAnsi="Arial" w:cs="Arial"/>
                <w:sz w:val="14"/>
              </w:rPr>
              <w:t>)(</w:t>
            </w:r>
            <w:r w:rsidR="008E11E4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 xml:space="preserve">) of the 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Standard Speci</w:t>
            </w:r>
            <w:r>
              <w:rPr>
                <w:rFonts w:ascii="Arial" w:hAnsi="Arial" w:cs="Arial"/>
                <w:i/>
                <w:iCs/>
                <w:sz w:val="14"/>
              </w:rPr>
              <w:t>al Provisions</w:t>
            </w:r>
            <w:r>
              <w:rPr>
                <w:rFonts w:ascii="Arial" w:hAnsi="Arial" w:cs="Arial"/>
                <w:sz w:val="14"/>
              </w:rPr>
              <w:t xml:space="preserve"> outlines steps the Contractor must take to resume production and the testing to be performed when production is resumed. Comments: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IX. Lottman Retesting Method</w:t>
            </w:r>
          </w:p>
        </w:tc>
      </w:tr>
      <w:tr w:rsidR="00BC20B9" w:rsidTr="00144683">
        <w:trPr>
          <w:cantSplit/>
        </w:trPr>
        <w:tc>
          <w:tcPr>
            <w:tcW w:w="9461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</w:rPr>
              <w:t xml:space="preserve">Per </w:t>
            </w:r>
            <w:r>
              <w:rPr>
                <w:rFonts w:cs="Arial"/>
                <w:i/>
                <w:iCs/>
                <w:sz w:val="14"/>
              </w:rPr>
              <w:t>Standard Special Provision – Revision of Section 401 Plant-Mix Pavements–General</w:t>
            </w:r>
            <w:r>
              <w:rPr>
                <w:rFonts w:cs="Arial"/>
                <w:sz w:val="14"/>
              </w:rPr>
              <w:t>, the Project Engineer will designate the method for Lottman retesting from the following methods before paving begins: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Yes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No</w:t>
            </w:r>
          </w:p>
        </w:tc>
      </w:tr>
      <w:tr w:rsidR="00BC20B9" w:rsidTr="00144683">
        <w:trPr>
          <w:cantSplit/>
        </w:trPr>
        <w:tc>
          <w:tcPr>
            <w:tcW w:w="9461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 Pavement samples for possible moisture susceptibility testing will be taken at a frequency of every 2,000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</w:rPr>
              <w:t xml:space="preserve">    tons throughout the project (i.e. retained samples during production).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Comments: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Heading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X. Field Quality Control of Binder</w:t>
            </w:r>
          </w:p>
        </w:tc>
      </w:tr>
      <w:tr w:rsidR="00BC20B9" w:rsidTr="00144683">
        <w:trPr>
          <w:cantSplit/>
        </w:trPr>
        <w:tc>
          <w:tcPr>
            <w:tcW w:w="9461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bCs/>
                <w:sz w:val="14"/>
                <w:szCs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Yes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No</w:t>
            </w:r>
          </w:p>
        </w:tc>
      </w:tr>
      <w:tr w:rsidR="00BC20B9" w:rsidTr="00144683">
        <w:trPr>
          <w:cantSplit/>
        </w:trPr>
        <w:tc>
          <w:tcPr>
            <w:tcW w:w="9461" w:type="dxa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bCs/>
                <w:sz w:val="14"/>
              </w:rPr>
              <w:t xml:space="preserve">Has the Contractor submitted the Contractor’s Binder Field Quality Plan to ensure compliance with the requirements of </w:t>
            </w:r>
            <w:r>
              <w:rPr>
                <w:rFonts w:cs="Arial"/>
                <w:bCs/>
                <w:i/>
                <w:iCs/>
                <w:sz w:val="14"/>
              </w:rPr>
              <w:t>CP 11, Section 14 – Certifying Suppliers Providing Performance Graded Binders</w:t>
            </w:r>
            <w:r>
              <w:rPr>
                <w:rFonts w:cs="Arial"/>
                <w:bCs/>
                <w:sz w:val="14"/>
              </w:rPr>
              <w:t>?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C20B9" w:rsidRDefault="00BC20B9" w:rsidP="00D62384">
            <w:pPr>
              <w:jc w:val="center"/>
              <w:rPr>
                <w:rFonts w:cs="Arial"/>
                <w:sz w:val="14"/>
              </w:rPr>
            </w:pPr>
          </w:p>
        </w:tc>
      </w:tr>
      <w:tr w:rsidR="00BC20B9" w:rsidTr="00144683">
        <w:trPr>
          <w:cantSplit/>
        </w:trPr>
        <w:tc>
          <w:tcPr>
            <w:tcW w:w="10656" w:type="dxa"/>
            <w:gridSpan w:val="3"/>
            <w:shd w:val="clear" w:color="auto" w:fill="auto"/>
            <w:vAlign w:val="center"/>
          </w:tcPr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  <w:r>
              <w:rPr>
                <w:rFonts w:cs="Arial"/>
                <w:sz w:val="14"/>
                <w:szCs w:val="24"/>
              </w:rPr>
              <w:t>Comments:</w:t>
            </w: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pStyle w:val="CommentText"/>
              <w:spacing w:line="240" w:lineRule="auto"/>
              <w:rPr>
                <w:rFonts w:cs="Arial"/>
                <w:sz w:val="14"/>
                <w:szCs w:val="24"/>
              </w:rPr>
            </w:pPr>
          </w:p>
          <w:p w:rsidR="00BC20B9" w:rsidRDefault="00BC20B9" w:rsidP="00D62384">
            <w:pPr>
              <w:rPr>
                <w:rFonts w:cs="Arial"/>
                <w:sz w:val="14"/>
              </w:rPr>
            </w:pPr>
          </w:p>
        </w:tc>
      </w:tr>
    </w:tbl>
    <w:p w:rsidR="00BC20B9" w:rsidRDefault="00BC20B9" w:rsidP="00BC20B9">
      <w:pPr>
        <w:pStyle w:val="CommentText"/>
        <w:spacing w:line="240" w:lineRule="auto"/>
        <w:rPr>
          <w:sz w:val="14"/>
        </w:rPr>
      </w:pPr>
    </w:p>
    <w:p w:rsidR="00BC20B9" w:rsidRDefault="00BC20B9" w:rsidP="00BC20B9">
      <w:pPr>
        <w:jc w:val="center"/>
        <w:rPr>
          <w:sz w:val="14"/>
        </w:rPr>
      </w:pPr>
    </w:p>
    <w:p w:rsidR="00BC20B9" w:rsidRDefault="00BC20B9" w:rsidP="00BC20B9">
      <w:pPr>
        <w:rPr>
          <w:rFonts w:cs="Arial"/>
          <w:sz w:val="14"/>
        </w:rPr>
      </w:pPr>
    </w:p>
    <w:p w:rsidR="007C782D" w:rsidRDefault="007C782D"/>
    <w:sectPr w:rsidR="007C782D" w:rsidSect="00A161AA">
      <w:footerReference w:type="default" r:id="rId8"/>
      <w:pgSz w:w="12240" w:h="15840"/>
      <w:pgMar w:top="720" w:right="72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08" w:rsidRDefault="00E86308" w:rsidP="00192B0A">
      <w:pPr>
        <w:spacing w:line="240" w:lineRule="auto"/>
      </w:pPr>
      <w:r>
        <w:separator/>
      </w:r>
    </w:p>
  </w:endnote>
  <w:endnote w:type="continuationSeparator" w:id="0">
    <w:p w:rsidR="00E86308" w:rsidRDefault="00E86308" w:rsidP="00192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0A" w:rsidRDefault="00A161AA">
    <w:pPr>
      <w:pStyle w:val="Footer"/>
      <w:jc w:val="center"/>
    </w:pPr>
    <w:r>
      <w:t xml:space="preserve">Page </w:t>
    </w:r>
    <w:r w:rsidR="00192B0A">
      <w:fldChar w:fldCharType="begin"/>
    </w:r>
    <w:r w:rsidR="00192B0A">
      <w:instrText xml:space="preserve"> PAGE   \* MERGEFORMAT </w:instrText>
    </w:r>
    <w:r w:rsidR="00192B0A">
      <w:fldChar w:fldCharType="separate"/>
    </w:r>
    <w:r w:rsidR="0000433C">
      <w:rPr>
        <w:noProof/>
      </w:rPr>
      <w:t>2</w:t>
    </w:r>
    <w:r w:rsidR="00192B0A">
      <w:rPr>
        <w:noProof/>
      </w:rPr>
      <w:fldChar w:fldCharType="end"/>
    </w:r>
  </w:p>
  <w:p w:rsidR="00192B0A" w:rsidRDefault="0019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08" w:rsidRDefault="00E86308" w:rsidP="00192B0A">
      <w:pPr>
        <w:spacing w:line="240" w:lineRule="auto"/>
      </w:pPr>
      <w:r>
        <w:separator/>
      </w:r>
    </w:p>
  </w:footnote>
  <w:footnote w:type="continuationSeparator" w:id="0">
    <w:p w:rsidR="00E86308" w:rsidRDefault="00E86308" w:rsidP="00192B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4E"/>
    <w:multiLevelType w:val="hybridMultilevel"/>
    <w:tmpl w:val="C67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9"/>
    <w:rsid w:val="0000433C"/>
    <w:rsid w:val="00093C28"/>
    <w:rsid w:val="000E42F6"/>
    <w:rsid w:val="00144683"/>
    <w:rsid w:val="00186B2A"/>
    <w:rsid w:val="00192B0A"/>
    <w:rsid w:val="001975F2"/>
    <w:rsid w:val="005E3DEB"/>
    <w:rsid w:val="00767D25"/>
    <w:rsid w:val="007C782D"/>
    <w:rsid w:val="008436D4"/>
    <w:rsid w:val="008E11E4"/>
    <w:rsid w:val="00904741"/>
    <w:rsid w:val="00957E1E"/>
    <w:rsid w:val="00A161AA"/>
    <w:rsid w:val="00BC20B9"/>
    <w:rsid w:val="00D1386C"/>
    <w:rsid w:val="00D62384"/>
    <w:rsid w:val="00E82329"/>
    <w:rsid w:val="00E86308"/>
    <w:rsid w:val="00F360DE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6191-3A98-4CC3-8085-9E59319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DOT Normal"/>
    <w:qFormat/>
    <w:rsid w:val="00BC20B9"/>
    <w:pPr>
      <w:spacing w:line="300" w:lineRule="auto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C20B9"/>
    <w:pPr>
      <w:keepNext/>
      <w:spacing w:line="360" w:lineRule="auto"/>
      <w:outlineLvl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20B9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BC20B9"/>
    <w:pPr>
      <w:spacing w:after="160" w:line="240" w:lineRule="auto"/>
    </w:pPr>
    <w:rPr>
      <w:rFonts w:ascii="Book Antiqua" w:hAnsi="Book Antiqua"/>
      <w:sz w:val="22"/>
    </w:rPr>
  </w:style>
  <w:style w:type="character" w:customStyle="1" w:styleId="BodyTextChar">
    <w:name w:val="Body Text Char"/>
    <w:link w:val="BodyText"/>
    <w:rsid w:val="00BC20B9"/>
    <w:rPr>
      <w:rFonts w:ascii="Book Antiqua" w:eastAsia="Times New Roman" w:hAnsi="Book Antiqua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BC20B9"/>
    <w:rPr>
      <w:sz w:val="20"/>
    </w:rPr>
  </w:style>
  <w:style w:type="character" w:customStyle="1" w:styleId="CommentTextChar">
    <w:name w:val="Comment Text Char"/>
    <w:link w:val="CommentText"/>
    <w:semiHidden/>
    <w:rsid w:val="00BC20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B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2B0A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2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2B0A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A72D-6773-4321-B144-A42038A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Coy</dc:creator>
  <cp:keywords/>
  <cp:lastModifiedBy>Avgeris, Louis</cp:lastModifiedBy>
  <cp:revision>2</cp:revision>
  <cp:lastPrinted>2012-03-12T19:51:00Z</cp:lastPrinted>
  <dcterms:created xsi:type="dcterms:W3CDTF">2019-02-21T18:15:00Z</dcterms:created>
  <dcterms:modified xsi:type="dcterms:W3CDTF">2019-02-21T18:15:00Z</dcterms:modified>
</cp:coreProperties>
</file>