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6A092B" w14:textId="77777777" w:rsidR="008D4CC8" w:rsidRDefault="008D4CC8" w:rsidP="00BC62E7"/>
    <w:p w14:paraId="0B470391" w14:textId="2B091AEC" w:rsidR="00324470" w:rsidRPr="007F07E8" w:rsidRDefault="0038289B" w:rsidP="007F07E8">
      <w:pPr>
        <w:autoSpaceDE w:val="0"/>
        <w:autoSpaceDN w:val="0"/>
        <w:adjustRightInd w:val="0"/>
        <w:jc w:val="center"/>
        <w:rPr>
          <w:rFonts w:ascii="Trebuchet MS" w:hAnsi="Trebuchet MS" w:cs="Arial"/>
          <w:b/>
          <w:sz w:val="28"/>
          <w:szCs w:val="28"/>
        </w:rPr>
      </w:pPr>
      <w:r w:rsidRPr="007F07E8">
        <w:rPr>
          <w:rFonts w:ascii="Trebuchet MS" w:hAnsi="Trebuchet MS" w:cs="Arial"/>
          <w:b/>
          <w:sz w:val="28"/>
          <w:szCs w:val="28"/>
        </w:rPr>
        <w:t>Subrecipient Monitoring on Federal-Aid Local Agency Infrastructure Projects</w:t>
      </w:r>
    </w:p>
    <w:p w14:paraId="77405513" w14:textId="50251B61" w:rsidR="003165CD" w:rsidRPr="00B51D69" w:rsidRDefault="003165CD" w:rsidP="00453B9A">
      <w:pPr>
        <w:autoSpaceDE w:val="0"/>
        <w:autoSpaceDN w:val="0"/>
        <w:adjustRightInd w:val="0"/>
        <w:rPr>
          <w:rFonts w:ascii="Trebuchet MS" w:hAnsi="Trebuchet MS" w:cs="Arial"/>
        </w:rPr>
      </w:pPr>
    </w:p>
    <w:p w14:paraId="632EBD99" w14:textId="34ED4D94" w:rsidR="000F6EFA" w:rsidRPr="00B51D69" w:rsidRDefault="003360E9" w:rsidP="00453B9A">
      <w:pPr>
        <w:autoSpaceDE w:val="0"/>
        <w:autoSpaceDN w:val="0"/>
        <w:adjustRightInd w:val="0"/>
        <w:rPr>
          <w:rFonts w:ascii="Trebuchet MS" w:hAnsi="Trebuchet MS" w:cs="Arial"/>
        </w:rPr>
      </w:pPr>
      <w:r w:rsidRPr="00B51D69">
        <w:rPr>
          <w:rFonts w:ascii="Trebuchet MS" w:hAnsi="Trebuchet MS" w:cs="Arial"/>
        </w:rPr>
        <w:t xml:space="preserve">The </w:t>
      </w:r>
      <w:r w:rsidR="005B58B2" w:rsidRPr="00B51D69">
        <w:rPr>
          <w:rFonts w:ascii="Trebuchet MS" w:hAnsi="Trebuchet MS" w:cs="Arial"/>
        </w:rPr>
        <w:t>Subrecipient Monitoring and Risk Assessment Manual</w:t>
      </w:r>
      <w:r w:rsidRPr="00B51D69">
        <w:rPr>
          <w:rFonts w:ascii="Trebuchet MS" w:hAnsi="Trebuchet MS" w:cs="Arial"/>
        </w:rPr>
        <w:t xml:space="preserve"> has been updated to </w:t>
      </w:r>
      <w:r w:rsidR="005B58B2" w:rsidRPr="00B51D69">
        <w:rPr>
          <w:rFonts w:ascii="Trebuchet MS" w:hAnsi="Trebuchet MS" w:cs="Arial"/>
        </w:rPr>
        <w:t>clarify a</w:t>
      </w:r>
      <w:r w:rsidR="002E6CA0" w:rsidRPr="00B51D69">
        <w:rPr>
          <w:rFonts w:ascii="Trebuchet MS" w:hAnsi="Trebuchet MS" w:cs="Arial"/>
        </w:rPr>
        <w:t xml:space="preserve"> number of items related to </w:t>
      </w:r>
      <w:r w:rsidR="001A0F3C" w:rsidRPr="00B51D69">
        <w:rPr>
          <w:rFonts w:ascii="Trebuchet MS" w:hAnsi="Trebuchet MS" w:cs="Arial"/>
        </w:rPr>
        <w:t xml:space="preserve">CDOT </w:t>
      </w:r>
      <w:r w:rsidR="002E6CA0" w:rsidRPr="00B51D69">
        <w:rPr>
          <w:rFonts w:ascii="Trebuchet MS" w:hAnsi="Trebuchet MS" w:cs="Arial"/>
        </w:rPr>
        <w:t>Subrecipient Monitoring on federal-aid funded Local Agency projects.</w:t>
      </w:r>
      <w:r w:rsidR="00E6350C" w:rsidRPr="00B51D69">
        <w:rPr>
          <w:rFonts w:ascii="Trebuchet MS" w:hAnsi="Trebuchet MS" w:cs="Arial"/>
        </w:rPr>
        <w:t xml:space="preserve">  </w:t>
      </w:r>
    </w:p>
    <w:p w14:paraId="1299685A" w14:textId="2244F926" w:rsidR="00781AAD" w:rsidRPr="00B51D69" w:rsidRDefault="00781AAD" w:rsidP="00453B9A">
      <w:pPr>
        <w:autoSpaceDE w:val="0"/>
        <w:autoSpaceDN w:val="0"/>
        <w:adjustRightInd w:val="0"/>
        <w:rPr>
          <w:rFonts w:ascii="Trebuchet MS" w:hAnsi="Trebuchet MS" w:cs="Arial"/>
        </w:rPr>
      </w:pPr>
    </w:p>
    <w:p w14:paraId="4B16DFFA" w14:textId="6A1381A4" w:rsidR="00781AAD" w:rsidRPr="00B51D69" w:rsidRDefault="00CD45B6" w:rsidP="00002B73">
      <w:pPr>
        <w:autoSpaceDE w:val="0"/>
        <w:autoSpaceDN w:val="0"/>
        <w:adjustRightInd w:val="0"/>
        <w:rPr>
          <w:rFonts w:ascii="Trebuchet MS" w:hAnsi="Trebuchet MS" w:cs="Arial"/>
        </w:rPr>
      </w:pPr>
      <w:r w:rsidRPr="00B51D69">
        <w:rPr>
          <w:rFonts w:ascii="Trebuchet MS" w:hAnsi="Trebuchet MS" w:cs="Arial"/>
        </w:rPr>
        <w:t>On</w:t>
      </w:r>
      <w:r w:rsidR="002E6CA0" w:rsidRPr="00B51D69">
        <w:rPr>
          <w:rFonts w:ascii="Trebuchet MS" w:hAnsi="Trebuchet MS" w:cs="Arial"/>
        </w:rPr>
        <w:t xml:space="preserve"> federal-aid funded Local Agency projects the Subrecipient Monitoring and Risk Assessment Manual is used </w:t>
      </w:r>
      <w:r w:rsidR="001A0F3C" w:rsidRPr="00B51D69">
        <w:rPr>
          <w:rFonts w:ascii="Trebuchet MS" w:hAnsi="Trebuchet MS" w:cs="Arial"/>
        </w:rPr>
        <w:t xml:space="preserve">by CDOT staff overseeing Local Agency projects </w:t>
      </w:r>
      <w:r w:rsidR="002E6CA0" w:rsidRPr="00B51D69">
        <w:rPr>
          <w:rFonts w:ascii="Trebuchet MS" w:hAnsi="Trebuchet MS" w:cs="Arial"/>
        </w:rPr>
        <w:t>to define the Subrecipient Monitoring process</w:t>
      </w:r>
      <w:r w:rsidR="001A0F3C" w:rsidRPr="00B51D69">
        <w:rPr>
          <w:rFonts w:ascii="Trebuchet MS" w:hAnsi="Trebuchet MS" w:cs="Arial"/>
        </w:rPr>
        <w:t>.</w:t>
      </w:r>
      <w:r w:rsidR="002E6CA0" w:rsidRPr="00B51D69">
        <w:rPr>
          <w:rFonts w:ascii="Trebuchet MS" w:hAnsi="Trebuchet MS" w:cs="Arial"/>
        </w:rPr>
        <w:t xml:space="preserve"> </w:t>
      </w:r>
      <w:r w:rsidR="001A0F3C" w:rsidRPr="00B51D69">
        <w:rPr>
          <w:rFonts w:ascii="Trebuchet MS" w:hAnsi="Trebuchet MS" w:cs="Arial"/>
        </w:rPr>
        <w:t>CDOT is defined as</w:t>
      </w:r>
      <w:r w:rsidR="002E6CA0" w:rsidRPr="00B51D69">
        <w:rPr>
          <w:rFonts w:ascii="Trebuchet MS" w:hAnsi="Trebuchet MS" w:cs="Arial"/>
        </w:rPr>
        <w:t xml:space="preserve"> </w:t>
      </w:r>
      <w:r w:rsidR="001A0F3C" w:rsidRPr="00B51D69">
        <w:rPr>
          <w:rFonts w:ascii="Trebuchet MS" w:hAnsi="Trebuchet MS" w:cs="Arial"/>
        </w:rPr>
        <w:t xml:space="preserve">a </w:t>
      </w:r>
      <w:r w:rsidR="002E6CA0" w:rsidRPr="00B51D69">
        <w:rPr>
          <w:rFonts w:ascii="Trebuchet MS" w:hAnsi="Trebuchet MS" w:cs="Arial"/>
        </w:rPr>
        <w:t>Pass-Through Entity</w:t>
      </w:r>
      <w:r w:rsidR="001A0F3C" w:rsidRPr="00B51D69">
        <w:rPr>
          <w:rFonts w:ascii="Trebuchet MS" w:hAnsi="Trebuchet MS" w:cs="Arial"/>
        </w:rPr>
        <w:t>.  With this, CDOT is required to</w:t>
      </w:r>
      <w:r w:rsidR="002E6CA0" w:rsidRPr="00B51D69">
        <w:rPr>
          <w:rFonts w:ascii="Trebuchet MS" w:hAnsi="Trebuchet MS" w:cs="Arial"/>
        </w:rPr>
        <w:t xml:space="preserve"> monitor the risk and programmatic ability </w:t>
      </w:r>
      <w:r w:rsidR="001A0F3C" w:rsidRPr="00B51D69">
        <w:rPr>
          <w:rFonts w:ascii="Trebuchet MS" w:hAnsi="Trebuchet MS" w:cs="Arial"/>
        </w:rPr>
        <w:t xml:space="preserve">of </w:t>
      </w:r>
      <w:r w:rsidR="000746B4">
        <w:rPr>
          <w:rFonts w:ascii="Trebuchet MS" w:hAnsi="Trebuchet MS" w:cs="Arial"/>
        </w:rPr>
        <w:t>Subrecipients (</w:t>
      </w:r>
      <w:r w:rsidR="001A0F3C" w:rsidRPr="00B51D69">
        <w:rPr>
          <w:rFonts w:ascii="Trebuchet MS" w:hAnsi="Trebuchet MS" w:cs="Arial"/>
        </w:rPr>
        <w:t>Local Agencies</w:t>
      </w:r>
      <w:r w:rsidR="000746B4">
        <w:rPr>
          <w:rFonts w:ascii="Trebuchet MS" w:hAnsi="Trebuchet MS" w:cs="Arial"/>
        </w:rPr>
        <w:t>)</w:t>
      </w:r>
      <w:r w:rsidR="001A0F3C" w:rsidRPr="00B51D69">
        <w:rPr>
          <w:rFonts w:ascii="Trebuchet MS" w:hAnsi="Trebuchet MS" w:cs="Arial"/>
        </w:rPr>
        <w:t xml:space="preserve"> </w:t>
      </w:r>
      <w:r w:rsidR="002E6CA0" w:rsidRPr="00B51D69">
        <w:rPr>
          <w:rFonts w:ascii="Trebuchet MS" w:hAnsi="Trebuchet MS" w:cs="Arial"/>
        </w:rPr>
        <w:t>to administer and deliver federal-aid projects.  This responsibility is defined in the Title 2 Code of Federal Regulations Part 200 (</w:t>
      </w:r>
      <w:r w:rsidR="0018369D" w:rsidRPr="00B51D69">
        <w:rPr>
          <w:rFonts w:ascii="Trebuchet MS" w:hAnsi="Trebuchet MS" w:cs="Arial"/>
        </w:rPr>
        <w:t>2 CFR 200).</w:t>
      </w:r>
    </w:p>
    <w:p w14:paraId="3BD568A6" w14:textId="43EBF6D8" w:rsidR="00596B71" w:rsidRPr="00B51D69" w:rsidRDefault="00596B71" w:rsidP="00453B9A">
      <w:pPr>
        <w:autoSpaceDE w:val="0"/>
        <w:autoSpaceDN w:val="0"/>
        <w:adjustRightInd w:val="0"/>
        <w:rPr>
          <w:rFonts w:ascii="Trebuchet MS" w:hAnsi="Trebuchet MS" w:cs="Arial"/>
        </w:rPr>
      </w:pPr>
    </w:p>
    <w:p w14:paraId="4E698838" w14:textId="33C46BB0" w:rsidR="00596B71" w:rsidRPr="00B51D69" w:rsidRDefault="00421AB7" w:rsidP="00453B9A">
      <w:pPr>
        <w:autoSpaceDE w:val="0"/>
        <w:autoSpaceDN w:val="0"/>
        <w:adjustRightInd w:val="0"/>
        <w:rPr>
          <w:rFonts w:ascii="Trebuchet MS" w:hAnsi="Trebuchet MS" w:cs="Arial"/>
        </w:rPr>
      </w:pPr>
      <w:hyperlink r:id="rId11" w:history="1">
        <w:r w:rsidR="001A0F3C" w:rsidRPr="00B51D69">
          <w:rPr>
            <w:rStyle w:val="Hyperlink"/>
            <w:rFonts w:ascii="Trebuchet MS" w:hAnsi="Trebuchet MS" w:cs="Arial"/>
          </w:rPr>
          <w:t>Link to the Subrecipient Monitoring and Risk Assessment Manual</w:t>
        </w:r>
      </w:hyperlink>
      <w:r w:rsidR="001A0F3C" w:rsidRPr="00B51D69">
        <w:rPr>
          <w:rFonts w:ascii="Trebuchet MS" w:hAnsi="Trebuchet MS" w:cs="Arial"/>
        </w:rPr>
        <w:t xml:space="preserve">.  Note </w:t>
      </w:r>
      <w:r w:rsidR="0018106C" w:rsidRPr="00B51D69">
        <w:rPr>
          <w:rFonts w:ascii="Trebuchet MS" w:hAnsi="Trebuchet MS" w:cs="Arial"/>
        </w:rPr>
        <w:t>this is a</w:t>
      </w:r>
      <w:r w:rsidR="00121AF0">
        <w:rPr>
          <w:rFonts w:ascii="Trebuchet MS" w:hAnsi="Trebuchet MS" w:cs="Arial"/>
        </w:rPr>
        <w:t xml:space="preserve"> CDOT</w:t>
      </w:r>
      <w:r w:rsidR="0018106C" w:rsidRPr="00B51D69">
        <w:rPr>
          <w:rFonts w:ascii="Trebuchet MS" w:hAnsi="Trebuchet MS" w:cs="Arial"/>
        </w:rPr>
        <w:t xml:space="preserve"> internal manual</w:t>
      </w:r>
      <w:r w:rsidR="000B06E0">
        <w:rPr>
          <w:rFonts w:ascii="Trebuchet MS" w:hAnsi="Trebuchet MS" w:cs="Arial"/>
        </w:rPr>
        <w:t xml:space="preserve"> and link</w:t>
      </w:r>
      <w:r w:rsidR="00BA1717">
        <w:rPr>
          <w:rFonts w:ascii="Trebuchet MS" w:hAnsi="Trebuchet MS" w:cs="Arial"/>
        </w:rPr>
        <w:t xml:space="preserve"> (scroll to bottom of page, middle column)</w:t>
      </w:r>
      <w:r w:rsidR="0018106C" w:rsidRPr="00B51D69">
        <w:rPr>
          <w:rFonts w:ascii="Trebuchet MS" w:hAnsi="Trebuchet MS" w:cs="Arial"/>
        </w:rPr>
        <w:t>.</w:t>
      </w:r>
      <w:r w:rsidR="00BA1717">
        <w:rPr>
          <w:rFonts w:ascii="Trebuchet MS" w:hAnsi="Trebuchet MS" w:cs="Arial"/>
        </w:rPr>
        <w:t xml:space="preserve"> </w:t>
      </w:r>
    </w:p>
    <w:p w14:paraId="08A8D46C" w14:textId="740FC639" w:rsidR="00FD6CE7" w:rsidRPr="00B51D69" w:rsidRDefault="00FD6CE7" w:rsidP="00FF5978">
      <w:pPr>
        <w:autoSpaceDE w:val="0"/>
        <w:autoSpaceDN w:val="0"/>
        <w:adjustRightInd w:val="0"/>
        <w:rPr>
          <w:rFonts w:ascii="Trebuchet MS" w:hAnsi="Trebuchet MS" w:cs="Arial"/>
        </w:rPr>
      </w:pPr>
    </w:p>
    <w:p w14:paraId="214DEFA8" w14:textId="08D64F65" w:rsidR="00E6350C" w:rsidRPr="00B51D69" w:rsidRDefault="00E6350C" w:rsidP="00B93AA0">
      <w:pPr>
        <w:autoSpaceDE w:val="0"/>
        <w:autoSpaceDN w:val="0"/>
        <w:adjustRightInd w:val="0"/>
        <w:rPr>
          <w:rFonts w:ascii="Trebuchet MS" w:hAnsi="Trebuchet MS" w:cs="Arial"/>
        </w:rPr>
      </w:pPr>
      <w:r w:rsidRPr="00B51D69">
        <w:rPr>
          <w:rFonts w:ascii="Trebuchet MS" w:hAnsi="Trebuchet MS" w:cs="Arial"/>
        </w:rPr>
        <w:t>In support of the Subrecipient Monitoring and Risk Assessment Changes, the following tools and forms have been updated:</w:t>
      </w:r>
    </w:p>
    <w:p w14:paraId="19923F35" w14:textId="77777777" w:rsidR="00E6350C" w:rsidRPr="00B51D69" w:rsidRDefault="00E6350C" w:rsidP="00B93AA0">
      <w:pPr>
        <w:autoSpaceDE w:val="0"/>
        <w:autoSpaceDN w:val="0"/>
        <w:adjustRightInd w:val="0"/>
        <w:rPr>
          <w:rFonts w:ascii="Trebuchet MS" w:hAnsi="Trebuchet MS" w:cs="Arial"/>
        </w:rPr>
      </w:pPr>
    </w:p>
    <w:p w14:paraId="41876CBB" w14:textId="77777777" w:rsidR="007942E6" w:rsidRPr="00B51D69" w:rsidRDefault="007942E6" w:rsidP="00B93AA0">
      <w:pPr>
        <w:autoSpaceDE w:val="0"/>
        <w:autoSpaceDN w:val="0"/>
        <w:adjustRightInd w:val="0"/>
        <w:rPr>
          <w:rFonts w:ascii="Trebuchet MS" w:hAnsi="Trebuchet MS" w:cs="Arial"/>
        </w:rPr>
      </w:pPr>
    </w:p>
    <w:p w14:paraId="0CDCA4B7" w14:textId="731D3BB2" w:rsidR="007942E6" w:rsidRPr="00B51D69" w:rsidRDefault="007942E6" w:rsidP="00813543">
      <w:pPr>
        <w:pStyle w:val="ListParagraph"/>
        <w:numPr>
          <w:ilvl w:val="0"/>
          <w:numId w:val="12"/>
        </w:numPr>
        <w:autoSpaceDE w:val="0"/>
        <w:autoSpaceDN w:val="0"/>
        <w:adjustRightInd w:val="0"/>
        <w:rPr>
          <w:rFonts w:ascii="Trebuchet MS" w:hAnsi="Trebuchet MS" w:cs="Arial"/>
        </w:rPr>
      </w:pPr>
      <w:r w:rsidRPr="007F07E8">
        <w:rPr>
          <w:rFonts w:ascii="Trebuchet MS" w:hAnsi="Trebuchet MS" w:cs="Arial"/>
          <w:b/>
        </w:rPr>
        <w:t>Subrecipient Determination Tool</w:t>
      </w:r>
      <w:r w:rsidR="001A0F3C" w:rsidRPr="00B51D69">
        <w:rPr>
          <w:rFonts w:ascii="Trebuchet MS" w:hAnsi="Trebuchet MS" w:cs="Arial"/>
        </w:rPr>
        <w:t>:  Updated wording related to shopping cart attachment.</w:t>
      </w:r>
    </w:p>
    <w:p w14:paraId="52361AEF" w14:textId="77777777" w:rsidR="0018106C" w:rsidRPr="00B51D69" w:rsidRDefault="0018106C" w:rsidP="0018106C">
      <w:pPr>
        <w:autoSpaceDE w:val="0"/>
        <w:autoSpaceDN w:val="0"/>
        <w:adjustRightInd w:val="0"/>
        <w:rPr>
          <w:rFonts w:ascii="Trebuchet MS" w:hAnsi="Trebuchet MS" w:cs="Arial"/>
        </w:rPr>
      </w:pPr>
    </w:p>
    <w:bookmarkStart w:id="0" w:name="_MON_1762687979"/>
    <w:bookmarkEnd w:id="0"/>
    <w:p w14:paraId="4B3FB6C1" w14:textId="4DB440C0" w:rsidR="0018106C" w:rsidRPr="00B51D69" w:rsidRDefault="003B3A34" w:rsidP="0018106C">
      <w:pPr>
        <w:autoSpaceDE w:val="0"/>
        <w:autoSpaceDN w:val="0"/>
        <w:adjustRightInd w:val="0"/>
        <w:ind w:left="720"/>
        <w:rPr>
          <w:rFonts w:ascii="Trebuchet MS" w:hAnsi="Trebuchet MS" w:cs="Arial"/>
        </w:rPr>
      </w:pPr>
      <w:r w:rsidRPr="00B51D69">
        <w:rPr>
          <w:rFonts w:ascii="Trebuchet MS" w:hAnsi="Trebuchet MS" w:cs="Arial"/>
        </w:rPr>
        <w:object w:dxaOrig="1287" w:dyaOrig="832" w14:anchorId="661BBE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ubrecipient Determination Tool" style="width:64.55pt;height:41.9pt" o:ole="">
            <v:imagedata r:id="rId12" o:title=""/>
          </v:shape>
          <o:OLEObject Type="Embed" ProgID="Excel.Sheet.12" ShapeID="_x0000_i1025" DrawAspect="Icon" ObjectID="_1763187999" r:id="rId13"/>
        </w:object>
      </w:r>
    </w:p>
    <w:p w14:paraId="3639911B" w14:textId="77777777" w:rsidR="00E6350C" w:rsidRPr="00B51D69" w:rsidRDefault="00E6350C" w:rsidP="00B93AA0">
      <w:pPr>
        <w:autoSpaceDE w:val="0"/>
        <w:autoSpaceDN w:val="0"/>
        <w:adjustRightInd w:val="0"/>
        <w:rPr>
          <w:rFonts w:ascii="Trebuchet MS" w:hAnsi="Trebuchet MS" w:cs="Arial"/>
        </w:rPr>
      </w:pPr>
    </w:p>
    <w:p w14:paraId="6D6E6C2F" w14:textId="77777777" w:rsidR="0018106C" w:rsidRPr="00B51D69" w:rsidRDefault="007942E6" w:rsidP="00813543">
      <w:pPr>
        <w:pStyle w:val="ListParagraph"/>
        <w:numPr>
          <w:ilvl w:val="0"/>
          <w:numId w:val="12"/>
        </w:numPr>
        <w:autoSpaceDE w:val="0"/>
        <w:autoSpaceDN w:val="0"/>
        <w:adjustRightInd w:val="0"/>
        <w:rPr>
          <w:rFonts w:ascii="Trebuchet MS" w:hAnsi="Trebuchet MS" w:cs="Arial"/>
        </w:rPr>
      </w:pPr>
      <w:r w:rsidRPr="007F07E8">
        <w:rPr>
          <w:rFonts w:ascii="Trebuchet MS" w:hAnsi="Trebuchet MS" w:cs="Arial"/>
          <w:b/>
        </w:rPr>
        <w:t>Subrecipient Risk Assessment</w:t>
      </w:r>
      <w:r w:rsidR="00813543" w:rsidRPr="007F07E8">
        <w:rPr>
          <w:rFonts w:ascii="Trebuchet MS" w:hAnsi="Trebuchet MS" w:cs="Arial"/>
          <w:b/>
        </w:rPr>
        <w:t xml:space="preserve"> (</w:t>
      </w:r>
      <w:r w:rsidR="00813543" w:rsidRPr="007F07E8">
        <w:rPr>
          <w:rFonts w:ascii="Trebuchet MS" w:hAnsi="Trebuchet MS" w:cs="Arial"/>
          <w:b/>
          <w:i/>
          <w:iCs/>
        </w:rPr>
        <w:t>2 CFR 200 risk assessment</w:t>
      </w:r>
      <w:r w:rsidR="00813543" w:rsidRPr="007F07E8">
        <w:rPr>
          <w:rFonts w:ascii="Trebuchet MS" w:hAnsi="Trebuchet MS" w:cs="Arial"/>
          <w:b/>
        </w:rPr>
        <w:t>)</w:t>
      </w:r>
      <w:r w:rsidR="001A0F3C" w:rsidRPr="00B51D69">
        <w:rPr>
          <w:rFonts w:ascii="Trebuchet MS" w:hAnsi="Trebuchet MS" w:cs="Arial"/>
        </w:rPr>
        <w:t xml:space="preserve">:  Added note to update in accordance with the Subrecipient Monitoring and Risk Assessment Manual.  </w:t>
      </w:r>
    </w:p>
    <w:p w14:paraId="6F1D0FCC" w14:textId="77777777" w:rsidR="0018106C" w:rsidRPr="00B51D69" w:rsidRDefault="0018106C" w:rsidP="0018106C">
      <w:pPr>
        <w:pStyle w:val="ListParagraph"/>
        <w:autoSpaceDE w:val="0"/>
        <w:autoSpaceDN w:val="0"/>
        <w:adjustRightInd w:val="0"/>
        <w:rPr>
          <w:rFonts w:ascii="Trebuchet MS" w:hAnsi="Trebuchet MS" w:cs="Arial"/>
        </w:rPr>
      </w:pPr>
    </w:p>
    <w:p w14:paraId="037B1626" w14:textId="2C2D9725" w:rsidR="0018106C" w:rsidRPr="00B51D69" w:rsidRDefault="003B3A34" w:rsidP="0018106C">
      <w:pPr>
        <w:pStyle w:val="ListParagraph"/>
        <w:autoSpaceDE w:val="0"/>
        <w:autoSpaceDN w:val="0"/>
        <w:adjustRightInd w:val="0"/>
        <w:rPr>
          <w:rFonts w:ascii="Trebuchet MS" w:hAnsi="Trebuchet MS" w:cs="Arial"/>
        </w:rPr>
      </w:pPr>
      <w:r>
        <w:rPr>
          <w:rFonts w:ascii="Trebuchet MS" w:hAnsi="Trebuchet MS" w:cs="Arial"/>
        </w:rPr>
        <w:object w:dxaOrig="1532" w:dyaOrig="991" w14:anchorId="499FC395">
          <v:shape id="_x0000_i1026" type="#_x0000_t75" alt="Subrecipient Risk Assessment (2 CFR 200 risk assessment)" style="width:76.4pt;height:49.35pt" o:ole="">
            <v:imagedata r:id="rId14" o:title=""/>
          </v:shape>
          <o:OLEObject Type="Embed" ProgID="Excel.Sheet.12" ShapeID="_x0000_i1026" DrawAspect="Icon" ObjectID="_1763188000" r:id="rId15"/>
        </w:object>
      </w:r>
    </w:p>
    <w:p w14:paraId="539989F3" w14:textId="77777777" w:rsidR="0018106C" w:rsidRPr="00B51D69" w:rsidRDefault="0018106C" w:rsidP="0018106C">
      <w:pPr>
        <w:pStyle w:val="ListParagraph"/>
        <w:autoSpaceDE w:val="0"/>
        <w:autoSpaceDN w:val="0"/>
        <w:adjustRightInd w:val="0"/>
        <w:rPr>
          <w:rFonts w:ascii="Trebuchet MS" w:hAnsi="Trebuchet MS" w:cs="Arial"/>
        </w:rPr>
      </w:pPr>
    </w:p>
    <w:p w14:paraId="077BF00D" w14:textId="48F3FF64" w:rsidR="00E6350C" w:rsidRPr="00B51D69" w:rsidRDefault="001A0F3C" w:rsidP="0018106C">
      <w:pPr>
        <w:pStyle w:val="ListParagraph"/>
        <w:autoSpaceDE w:val="0"/>
        <w:autoSpaceDN w:val="0"/>
        <w:adjustRightInd w:val="0"/>
        <w:rPr>
          <w:rFonts w:ascii="Trebuchet MS" w:hAnsi="Trebuchet MS" w:cs="Arial"/>
        </w:rPr>
      </w:pPr>
      <w:r w:rsidRPr="00B51D69">
        <w:rPr>
          <w:rFonts w:ascii="Trebuchet MS" w:hAnsi="Trebuchet MS" w:cs="Arial"/>
        </w:rPr>
        <w:t>The Subrecipient Risk Assessment will now be required to be updated in accordance with the following:</w:t>
      </w:r>
    </w:p>
    <w:p w14:paraId="17AEFD65" w14:textId="77777777" w:rsidR="005872F2" w:rsidRPr="00B51D69" w:rsidRDefault="005872F2" w:rsidP="005872F2">
      <w:pPr>
        <w:pStyle w:val="ListParagraph"/>
        <w:rPr>
          <w:rFonts w:ascii="Trebuchet MS" w:hAnsi="Trebuchet MS" w:cs="Arial"/>
        </w:rPr>
      </w:pPr>
    </w:p>
    <w:p w14:paraId="754B5AB1" w14:textId="76D61B11" w:rsidR="005872F2" w:rsidRPr="00B51D69" w:rsidRDefault="005872F2" w:rsidP="005872F2">
      <w:pPr>
        <w:pStyle w:val="NormalWeb"/>
        <w:spacing w:before="0" w:beforeAutospacing="0" w:after="280" w:afterAutospacing="0"/>
        <w:ind w:left="720"/>
        <w:rPr>
          <w:rFonts w:ascii="Trebuchet MS" w:hAnsi="Trebuchet MS"/>
        </w:rPr>
      </w:pPr>
      <w:r w:rsidRPr="00B51D69">
        <w:rPr>
          <w:rFonts w:ascii="Trebuchet MS" w:hAnsi="Trebuchet MS" w:cs="Arial"/>
          <w:color w:val="000000"/>
        </w:rPr>
        <w:lastRenderedPageBreak/>
        <w:t>A  Subrecipient Risk Assessment tool is required prior to a contract being executed and encumbered.</w:t>
      </w:r>
      <w:r w:rsidR="00121AF0">
        <w:rPr>
          <w:rFonts w:ascii="Trebuchet MS" w:hAnsi="Trebuchet MS" w:cs="Arial"/>
          <w:color w:val="000000"/>
        </w:rPr>
        <w:t xml:space="preserve">  </w:t>
      </w:r>
      <w:r w:rsidRPr="00B51D69">
        <w:rPr>
          <w:rFonts w:ascii="Trebuchet MS" w:hAnsi="Trebuchet MS" w:cs="Arial"/>
          <w:color w:val="000000"/>
        </w:rPr>
        <w:t>The Subrecipient Risk Assessment is required to be updated for each subrecipient by risk level in accordance with the table below:  </w:t>
      </w:r>
    </w:p>
    <w:p w14:paraId="66E336B4" w14:textId="77777777" w:rsidR="005872F2" w:rsidRPr="00B51D69" w:rsidRDefault="005872F2" w:rsidP="00FD0AEC">
      <w:pPr>
        <w:pStyle w:val="NormalWeb"/>
        <w:spacing w:before="0" w:beforeAutospacing="0" w:after="120" w:afterAutospacing="0"/>
        <w:rPr>
          <w:rFonts w:ascii="Trebuchet MS" w:hAnsi="Trebuchet MS"/>
        </w:rPr>
      </w:pPr>
      <w:r w:rsidRPr="00B51D69">
        <w:rPr>
          <w:rFonts w:ascii="Trebuchet MS" w:hAnsi="Trebuchet MS" w:cs="Arial"/>
          <w:color w:val="000000"/>
        </w:rPr>
        <w:t>Subrecipient Risk Assessment Update Frequency:</w:t>
      </w:r>
    </w:p>
    <w:tbl>
      <w:tblPr>
        <w:tblW w:w="0" w:type="auto"/>
        <w:tblCellMar>
          <w:top w:w="15" w:type="dxa"/>
          <w:left w:w="15" w:type="dxa"/>
          <w:bottom w:w="15" w:type="dxa"/>
          <w:right w:w="15" w:type="dxa"/>
        </w:tblCellMar>
        <w:tblLook w:val="04A0" w:firstRow="1" w:lastRow="0" w:firstColumn="1" w:lastColumn="0" w:noHBand="0" w:noVBand="1"/>
      </w:tblPr>
      <w:tblGrid>
        <w:gridCol w:w="1498"/>
        <w:gridCol w:w="4188"/>
        <w:gridCol w:w="2194"/>
        <w:gridCol w:w="2180"/>
      </w:tblGrid>
      <w:tr w:rsidR="005872F2" w:rsidRPr="00B51D69" w14:paraId="60EE920B" w14:textId="77777777" w:rsidTr="005872F2">
        <w:trPr>
          <w:trHeight w:val="223"/>
        </w:trPr>
        <w:tc>
          <w:tcPr>
            <w:tcW w:w="0" w:type="auto"/>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hideMark/>
          </w:tcPr>
          <w:p w14:paraId="35B681B7" w14:textId="77777777" w:rsidR="005872F2" w:rsidRPr="00B51D69" w:rsidRDefault="005872F2">
            <w:pPr>
              <w:rPr>
                <w:rFonts w:ascii="Trebuchet MS" w:hAnsi="Trebuchet MS"/>
              </w:rPr>
            </w:pPr>
          </w:p>
        </w:tc>
        <w:tc>
          <w:tcPr>
            <w:tcW w:w="0" w:type="auto"/>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hideMark/>
          </w:tcPr>
          <w:p w14:paraId="359B19A8" w14:textId="2192ADF6" w:rsidR="005872F2" w:rsidRPr="00B51D69" w:rsidRDefault="005872F2">
            <w:pPr>
              <w:pStyle w:val="NormalWeb"/>
              <w:spacing w:before="0" w:beforeAutospacing="0" w:after="0" w:afterAutospacing="0"/>
              <w:rPr>
                <w:rFonts w:ascii="Trebuchet MS" w:hAnsi="Trebuchet MS"/>
              </w:rPr>
            </w:pPr>
            <w:r w:rsidRPr="00B51D69">
              <w:rPr>
                <w:rFonts w:ascii="Trebuchet MS" w:hAnsi="Trebuchet MS" w:cs="Calibri"/>
                <w:b/>
                <w:bCs/>
                <w:color w:val="FCE5CD"/>
              </w:rPr>
              <w:t>Low Risk</w:t>
            </w:r>
          </w:p>
        </w:tc>
        <w:tc>
          <w:tcPr>
            <w:tcW w:w="0" w:type="auto"/>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hideMark/>
          </w:tcPr>
          <w:p w14:paraId="1A340326" w14:textId="1D540F73" w:rsidR="005872F2" w:rsidRPr="00B51D69" w:rsidRDefault="005872F2">
            <w:pPr>
              <w:pStyle w:val="NormalWeb"/>
              <w:spacing w:before="0" w:beforeAutospacing="0" w:after="0" w:afterAutospacing="0"/>
              <w:rPr>
                <w:rFonts w:ascii="Trebuchet MS" w:hAnsi="Trebuchet MS"/>
              </w:rPr>
            </w:pPr>
            <w:r w:rsidRPr="00B51D69">
              <w:rPr>
                <w:rFonts w:ascii="Trebuchet MS" w:hAnsi="Trebuchet MS" w:cs="Calibri"/>
                <w:b/>
                <w:bCs/>
                <w:color w:val="FCE5CD"/>
              </w:rPr>
              <w:t>Medium Risk</w:t>
            </w:r>
          </w:p>
        </w:tc>
        <w:tc>
          <w:tcPr>
            <w:tcW w:w="0" w:type="auto"/>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hideMark/>
          </w:tcPr>
          <w:p w14:paraId="5869765C" w14:textId="1BA4E0A2" w:rsidR="005872F2" w:rsidRPr="00B51D69" w:rsidRDefault="005872F2">
            <w:pPr>
              <w:pStyle w:val="NormalWeb"/>
              <w:spacing w:before="0" w:beforeAutospacing="0" w:after="0" w:afterAutospacing="0"/>
              <w:rPr>
                <w:rFonts w:ascii="Trebuchet MS" w:hAnsi="Trebuchet MS"/>
              </w:rPr>
            </w:pPr>
            <w:r w:rsidRPr="00B51D69">
              <w:rPr>
                <w:rFonts w:ascii="Trebuchet MS" w:hAnsi="Trebuchet MS" w:cs="Calibri"/>
                <w:b/>
                <w:bCs/>
                <w:color w:val="FCE5CD"/>
              </w:rPr>
              <w:t>High Risk</w:t>
            </w:r>
          </w:p>
        </w:tc>
      </w:tr>
      <w:tr w:rsidR="005872F2" w:rsidRPr="00B51D69" w14:paraId="791B5F12" w14:textId="77777777" w:rsidTr="005872F2">
        <w:tc>
          <w:tcPr>
            <w:tcW w:w="0" w:type="auto"/>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hideMark/>
          </w:tcPr>
          <w:p w14:paraId="3B659C0B" w14:textId="77777777" w:rsidR="005872F2" w:rsidRPr="00B51D69" w:rsidRDefault="005872F2">
            <w:pPr>
              <w:pStyle w:val="NormalWeb"/>
              <w:spacing w:before="0" w:beforeAutospacing="0" w:after="0" w:afterAutospacing="0"/>
              <w:rPr>
                <w:rFonts w:ascii="Trebuchet MS" w:hAnsi="Trebuchet MS"/>
              </w:rPr>
            </w:pPr>
            <w:r w:rsidRPr="00B51D69">
              <w:rPr>
                <w:rFonts w:ascii="Trebuchet MS" w:hAnsi="Trebuchet MS" w:cs="Calibri"/>
                <w:b/>
                <w:bCs/>
                <w:color w:val="FCE5CD"/>
              </w:rPr>
              <w:t>Update Frequency</w:t>
            </w:r>
          </w:p>
        </w:tc>
        <w:tc>
          <w:tcPr>
            <w:tcW w:w="0" w:type="auto"/>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hideMark/>
          </w:tcPr>
          <w:p w14:paraId="442028FD" w14:textId="77777777" w:rsidR="005872F2" w:rsidRPr="00B51D69" w:rsidRDefault="005872F2">
            <w:pPr>
              <w:pStyle w:val="NormalWeb"/>
              <w:spacing w:before="0" w:beforeAutospacing="0" w:after="0" w:afterAutospacing="0"/>
              <w:rPr>
                <w:rFonts w:ascii="Trebuchet MS" w:hAnsi="Trebuchet MS"/>
              </w:rPr>
            </w:pPr>
            <w:r w:rsidRPr="00B51D69">
              <w:rPr>
                <w:rFonts w:ascii="Trebuchet MS" w:hAnsi="Trebuchet MS" w:cs="Calibri"/>
                <w:color w:val="000000"/>
              </w:rPr>
              <w:t>None - Subrecipient Risk Assessment is generated once prior to IGA execution unless the Project Team judges that conditions have changed such that the Subrecipient Risk Assessment warrants and updated Assessment</w:t>
            </w:r>
          </w:p>
        </w:tc>
        <w:tc>
          <w:tcPr>
            <w:tcW w:w="0" w:type="auto"/>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hideMark/>
          </w:tcPr>
          <w:p w14:paraId="20D14755" w14:textId="5A929CF9" w:rsidR="005872F2" w:rsidRPr="00B51D69" w:rsidRDefault="005872F2">
            <w:pPr>
              <w:pStyle w:val="NormalWeb"/>
              <w:spacing w:before="0" w:beforeAutospacing="0" w:after="0" w:afterAutospacing="0"/>
              <w:rPr>
                <w:rFonts w:ascii="Trebuchet MS" w:hAnsi="Trebuchet MS"/>
              </w:rPr>
            </w:pPr>
            <w:r w:rsidRPr="00B51D69">
              <w:rPr>
                <w:rFonts w:ascii="Trebuchet MS" w:hAnsi="Trebuchet MS" w:cs="Calibri"/>
                <w:color w:val="000000"/>
              </w:rPr>
              <w:t>Biennially (Every two years)</w:t>
            </w:r>
          </w:p>
        </w:tc>
        <w:tc>
          <w:tcPr>
            <w:tcW w:w="0" w:type="auto"/>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hideMark/>
          </w:tcPr>
          <w:p w14:paraId="17AA3E0E" w14:textId="77777777" w:rsidR="005872F2" w:rsidRPr="00B51D69" w:rsidRDefault="005872F2">
            <w:pPr>
              <w:pStyle w:val="NormalWeb"/>
              <w:spacing w:before="0" w:beforeAutospacing="0" w:after="0" w:afterAutospacing="0"/>
              <w:rPr>
                <w:rFonts w:ascii="Trebuchet MS" w:hAnsi="Trebuchet MS"/>
              </w:rPr>
            </w:pPr>
            <w:r w:rsidRPr="00B51D69">
              <w:rPr>
                <w:rFonts w:ascii="Trebuchet MS" w:hAnsi="Trebuchet MS" w:cs="Calibri"/>
                <w:color w:val="000000"/>
              </w:rPr>
              <w:t>Annually</w:t>
            </w:r>
          </w:p>
        </w:tc>
      </w:tr>
      <w:tr w:rsidR="005872F2" w:rsidRPr="00B51D69" w14:paraId="782B19F8" w14:textId="77777777" w:rsidTr="005872F2">
        <w:trPr>
          <w:trHeight w:val="1042"/>
        </w:trPr>
        <w:tc>
          <w:tcPr>
            <w:tcW w:w="0" w:type="auto"/>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hideMark/>
          </w:tcPr>
          <w:p w14:paraId="2A1B3A63" w14:textId="77777777" w:rsidR="005872F2" w:rsidRPr="00B51D69" w:rsidRDefault="005872F2">
            <w:pPr>
              <w:pStyle w:val="NormalWeb"/>
              <w:spacing w:before="0" w:beforeAutospacing="0" w:after="0" w:afterAutospacing="0"/>
              <w:rPr>
                <w:rFonts w:ascii="Trebuchet MS" w:hAnsi="Trebuchet MS"/>
              </w:rPr>
            </w:pPr>
            <w:r w:rsidRPr="00B51D69">
              <w:rPr>
                <w:rFonts w:ascii="Trebuchet MS" w:hAnsi="Trebuchet MS" w:cs="Calibri"/>
                <w:b/>
                <w:bCs/>
                <w:color w:val="FCE5CD"/>
              </w:rPr>
              <w:t>When to Update</w:t>
            </w:r>
          </w:p>
        </w:tc>
        <w:tc>
          <w:tcPr>
            <w:tcW w:w="0" w:type="auto"/>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hideMark/>
          </w:tcPr>
          <w:p w14:paraId="719BC3C0" w14:textId="77777777" w:rsidR="005872F2" w:rsidRPr="00B51D69" w:rsidRDefault="005872F2">
            <w:pPr>
              <w:pStyle w:val="NormalWeb"/>
              <w:spacing w:before="0" w:beforeAutospacing="0" w:after="0" w:afterAutospacing="0"/>
              <w:rPr>
                <w:rFonts w:ascii="Trebuchet MS" w:hAnsi="Trebuchet MS"/>
              </w:rPr>
            </w:pPr>
            <w:r w:rsidRPr="00B51D69">
              <w:rPr>
                <w:rFonts w:ascii="Trebuchet MS" w:hAnsi="Trebuchet MS" w:cs="Calibri"/>
                <w:color w:val="000000"/>
              </w:rPr>
              <w:t>None, unless so determined</w:t>
            </w:r>
          </w:p>
        </w:tc>
        <w:tc>
          <w:tcPr>
            <w:tcW w:w="0" w:type="auto"/>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hideMark/>
          </w:tcPr>
          <w:p w14:paraId="7FB18A24" w14:textId="77777777" w:rsidR="005872F2" w:rsidRPr="00B51D69" w:rsidRDefault="005872F2">
            <w:pPr>
              <w:pStyle w:val="NormalWeb"/>
              <w:spacing w:before="0" w:beforeAutospacing="0" w:after="0" w:afterAutospacing="0"/>
              <w:rPr>
                <w:rFonts w:ascii="Trebuchet MS" w:hAnsi="Trebuchet MS"/>
              </w:rPr>
            </w:pPr>
            <w:r w:rsidRPr="00B51D69">
              <w:rPr>
                <w:rFonts w:ascii="Trebuchet MS" w:hAnsi="Trebuchet MS" w:cs="Calibri"/>
                <w:color w:val="000000"/>
              </w:rPr>
              <w:t>Two years following the most recent Risk Assessment for the given LPA.</w:t>
            </w:r>
          </w:p>
        </w:tc>
        <w:tc>
          <w:tcPr>
            <w:tcW w:w="0" w:type="auto"/>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hideMark/>
          </w:tcPr>
          <w:p w14:paraId="590D8EC6" w14:textId="77777777" w:rsidR="005872F2" w:rsidRPr="00B51D69" w:rsidRDefault="005872F2">
            <w:pPr>
              <w:pStyle w:val="NormalWeb"/>
              <w:spacing w:before="0" w:beforeAutospacing="0" w:after="0" w:afterAutospacing="0"/>
              <w:rPr>
                <w:rFonts w:ascii="Trebuchet MS" w:hAnsi="Trebuchet MS"/>
              </w:rPr>
            </w:pPr>
            <w:r w:rsidRPr="00B51D69">
              <w:rPr>
                <w:rFonts w:ascii="Trebuchet MS" w:hAnsi="Trebuchet MS" w:cs="Calibri"/>
                <w:color w:val="000000"/>
              </w:rPr>
              <w:t>One year following the most recent Risk Assessment for the given LPA.</w:t>
            </w:r>
          </w:p>
        </w:tc>
      </w:tr>
      <w:tr w:rsidR="005872F2" w:rsidRPr="00B51D69" w14:paraId="3D8EDE53" w14:textId="77777777" w:rsidTr="005872F2">
        <w:trPr>
          <w:trHeight w:val="1003"/>
        </w:trPr>
        <w:tc>
          <w:tcPr>
            <w:tcW w:w="0" w:type="auto"/>
            <w:gridSpan w:val="4"/>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hideMark/>
          </w:tcPr>
          <w:p w14:paraId="28902958" w14:textId="77777777" w:rsidR="005872F2" w:rsidRPr="00B51D69" w:rsidRDefault="005872F2">
            <w:pPr>
              <w:pStyle w:val="NormalWeb"/>
              <w:spacing w:before="0" w:beforeAutospacing="0" w:after="0" w:afterAutospacing="0"/>
              <w:rPr>
                <w:rFonts w:ascii="Trebuchet MS" w:hAnsi="Trebuchet MS"/>
              </w:rPr>
            </w:pPr>
            <w:r w:rsidRPr="00B51D69">
              <w:rPr>
                <w:rFonts w:ascii="Trebuchet MS" w:hAnsi="Trebuchet MS" w:cs="Calibri"/>
                <w:color w:val="000000"/>
              </w:rPr>
              <w:t>Note:  A report will be generated by the HQ Local Agency Staff Quarterly and provided to the CDOT Region Local Agency Coordinators with the creation and updated Subrecipient Risk Assessment Dates as described in Appendix I.  The Region Local Agency staff have the ability to run this report as well.</w:t>
            </w:r>
          </w:p>
        </w:tc>
      </w:tr>
    </w:tbl>
    <w:p w14:paraId="1966CC0E" w14:textId="77777777" w:rsidR="005872F2" w:rsidRPr="00B51D69" w:rsidRDefault="005872F2" w:rsidP="005872F2">
      <w:pPr>
        <w:autoSpaceDE w:val="0"/>
        <w:autoSpaceDN w:val="0"/>
        <w:adjustRightInd w:val="0"/>
        <w:rPr>
          <w:rFonts w:ascii="Trebuchet MS" w:hAnsi="Trebuchet MS" w:cs="Arial"/>
        </w:rPr>
      </w:pPr>
    </w:p>
    <w:p w14:paraId="5A59D44B" w14:textId="774A1675" w:rsidR="00C83B6F" w:rsidRPr="00B51D69" w:rsidRDefault="00C83B6F" w:rsidP="00C83B6F">
      <w:pPr>
        <w:autoSpaceDE w:val="0"/>
        <w:autoSpaceDN w:val="0"/>
        <w:adjustRightInd w:val="0"/>
        <w:ind w:left="720" w:hanging="90"/>
        <w:rPr>
          <w:rFonts w:ascii="Trebuchet MS" w:hAnsi="Trebuchet MS" w:cs="Arial"/>
        </w:rPr>
      </w:pPr>
      <w:r w:rsidRPr="00B51D69">
        <w:rPr>
          <w:rFonts w:ascii="Trebuchet MS" w:hAnsi="Trebuchet MS" w:cs="Arial"/>
        </w:rPr>
        <w:tab/>
      </w:r>
      <w:r w:rsidRPr="003B4369">
        <w:rPr>
          <w:rFonts w:ascii="Trebuchet MS" w:hAnsi="Trebuchet MS" w:cs="Arial"/>
        </w:rPr>
        <w:t xml:space="preserve">For projects in Progress as of December 1, 2023 an updated Risk Assessment will be required at the frequency shown above </w:t>
      </w:r>
      <w:r w:rsidR="008F4C06" w:rsidRPr="003B4369">
        <w:rPr>
          <w:rFonts w:ascii="Trebuchet MS" w:hAnsi="Trebuchet MS" w:cs="Arial"/>
        </w:rPr>
        <w:t xml:space="preserve">as </w:t>
      </w:r>
      <w:r w:rsidRPr="003B4369">
        <w:rPr>
          <w:rFonts w:ascii="Trebuchet MS" w:hAnsi="Trebuchet MS" w:cs="Arial"/>
        </w:rPr>
        <w:t xml:space="preserve">calculated from the date of the IGA </w:t>
      </w:r>
      <w:r w:rsidR="00C52DF5">
        <w:rPr>
          <w:rFonts w:ascii="Trebuchet MS" w:hAnsi="Trebuchet MS" w:cs="Arial"/>
        </w:rPr>
        <w:t xml:space="preserve">execution </w:t>
      </w:r>
      <w:r w:rsidRPr="003B4369">
        <w:rPr>
          <w:rFonts w:ascii="Trebuchet MS" w:hAnsi="Trebuchet MS" w:cs="Arial"/>
        </w:rPr>
        <w:t>date.  An updated risk assessment is not required if a project is in the final construction season.</w:t>
      </w:r>
    </w:p>
    <w:p w14:paraId="6652891F" w14:textId="77777777" w:rsidR="007942E6" w:rsidRPr="00B51D69" w:rsidRDefault="007942E6" w:rsidP="00B93AA0">
      <w:pPr>
        <w:autoSpaceDE w:val="0"/>
        <w:autoSpaceDN w:val="0"/>
        <w:adjustRightInd w:val="0"/>
        <w:rPr>
          <w:rFonts w:ascii="Trebuchet MS" w:hAnsi="Trebuchet MS" w:cs="Arial"/>
        </w:rPr>
      </w:pPr>
    </w:p>
    <w:p w14:paraId="09CD61DE" w14:textId="405B515A" w:rsidR="007942E6" w:rsidRPr="00B51D69" w:rsidRDefault="007942E6" w:rsidP="00813543">
      <w:pPr>
        <w:pStyle w:val="ListParagraph"/>
        <w:numPr>
          <w:ilvl w:val="0"/>
          <w:numId w:val="12"/>
        </w:numPr>
        <w:autoSpaceDE w:val="0"/>
        <w:autoSpaceDN w:val="0"/>
        <w:adjustRightInd w:val="0"/>
        <w:rPr>
          <w:rFonts w:ascii="Trebuchet MS" w:hAnsi="Trebuchet MS" w:cs="Arial"/>
        </w:rPr>
      </w:pPr>
      <w:r w:rsidRPr="002F31D4">
        <w:rPr>
          <w:rFonts w:ascii="Trebuchet MS" w:hAnsi="Trebuchet MS" w:cs="Arial"/>
          <w:b/>
        </w:rPr>
        <w:t xml:space="preserve">Subrecipient </w:t>
      </w:r>
      <w:r w:rsidR="005872F2" w:rsidRPr="002F31D4">
        <w:rPr>
          <w:rFonts w:ascii="Trebuchet MS" w:hAnsi="Trebuchet MS" w:cs="Arial"/>
          <w:b/>
        </w:rPr>
        <w:t xml:space="preserve">Project </w:t>
      </w:r>
      <w:r w:rsidRPr="002F31D4">
        <w:rPr>
          <w:rFonts w:ascii="Trebuchet MS" w:hAnsi="Trebuchet MS" w:cs="Arial"/>
          <w:b/>
        </w:rPr>
        <w:t>Update Report</w:t>
      </w:r>
      <w:r w:rsidRPr="00B51D69">
        <w:rPr>
          <w:rFonts w:ascii="Trebuchet MS" w:hAnsi="Trebuchet MS" w:cs="Arial"/>
        </w:rPr>
        <w:t>:</w:t>
      </w:r>
      <w:r w:rsidR="001A0F3C" w:rsidRPr="00B51D69">
        <w:rPr>
          <w:rFonts w:ascii="Trebuchet MS" w:hAnsi="Trebuchet MS" w:cs="Arial"/>
        </w:rPr>
        <w:t xml:space="preserve">  The Subrecipient will be required to submit to the CDOT Project Manager the Subrecipient </w:t>
      </w:r>
      <w:r w:rsidR="000746B4">
        <w:rPr>
          <w:rFonts w:ascii="Trebuchet MS" w:hAnsi="Trebuchet MS" w:cs="Arial"/>
        </w:rPr>
        <w:t xml:space="preserve">Project </w:t>
      </w:r>
      <w:r w:rsidR="001A0F3C" w:rsidRPr="00B51D69">
        <w:rPr>
          <w:rFonts w:ascii="Trebuchet MS" w:hAnsi="Trebuchet MS" w:cs="Arial"/>
        </w:rPr>
        <w:t>Update Report in accordance with the following:</w:t>
      </w:r>
    </w:p>
    <w:p w14:paraId="0F03E4D6" w14:textId="77777777" w:rsidR="005872F2" w:rsidRPr="00B51D69" w:rsidRDefault="005872F2" w:rsidP="005872F2">
      <w:pPr>
        <w:autoSpaceDE w:val="0"/>
        <w:autoSpaceDN w:val="0"/>
        <w:adjustRightInd w:val="0"/>
        <w:rPr>
          <w:rFonts w:ascii="Trebuchet MS" w:hAnsi="Trebuchet MS" w:cs="Arial"/>
        </w:rPr>
      </w:pPr>
    </w:p>
    <w:p w14:paraId="6CB05AF4" w14:textId="0022A844" w:rsidR="0018106C" w:rsidRPr="00B51D69" w:rsidRDefault="003B3A34" w:rsidP="0018106C">
      <w:pPr>
        <w:autoSpaceDE w:val="0"/>
        <w:autoSpaceDN w:val="0"/>
        <w:adjustRightInd w:val="0"/>
        <w:ind w:left="720"/>
        <w:rPr>
          <w:rFonts w:ascii="Trebuchet MS" w:hAnsi="Trebuchet MS" w:cs="Arial"/>
        </w:rPr>
      </w:pPr>
      <w:r>
        <w:rPr>
          <w:rFonts w:ascii="Trebuchet MS" w:hAnsi="Trebuchet MS" w:cs="Arial"/>
        </w:rPr>
        <w:object w:dxaOrig="1532" w:dyaOrig="991" w14:anchorId="27A71C5A">
          <v:shape id="_x0000_i1027" type="#_x0000_t75" alt="Subrecipient Project Update Report" style="width:76.4pt;height:49.35pt" o:ole="">
            <v:imagedata r:id="rId16" o:title=""/>
          </v:shape>
          <o:OLEObject Type="Embed" ProgID="Excel.Sheet.12" ShapeID="_x0000_i1027" DrawAspect="Icon" ObjectID="_1763188001" r:id="rId17"/>
        </w:object>
      </w:r>
    </w:p>
    <w:p w14:paraId="04D93CD8" w14:textId="77777777" w:rsidR="0018106C" w:rsidRPr="00B51D69" w:rsidRDefault="0018106C" w:rsidP="005872F2">
      <w:pPr>
        <w:autoSpaceDE w:val="0"/>
        <w:autoSpaceDN w:val="0"/>
        <w:adjustRightInd w:val="0"/>
        <w:rPr>
          <w:rFonts w:ascii="Trebuchet MS" w:hAnsi="Trebuchet MS" w:cs="Arial"/>
        </w:rPr>
      </w:pPr>
    </w:p>
    <w:p w14:paraId="0E021FA1" w14:textId="704C8A13" w:rsidR="008D5ACE" w:rsidRPr="003B4369" w:rsidRDefault="005872F2" w:rsidP="003B4369">
      <w:pPr>
        <w:pStyle w:val="NormalWeb"/>
        <w:spacing w:before="0" w:beforeAutospacing="0" w:after="280" w:afterAutospacing="0"/>
        <w:ind w:left="720"/>
        <w:rPr>
          <w:rFonts w:ascii="Trebuchet MS" w:hAnsi="Trebuchet MS" w:cs="Arial"/>
          <w:color w:val="000000"/>
        </w:rPr>
      </w:pPr>
      <w:r w:rsidRPr="00B51D69">
        <w:rPr>
          <w:rFonts w:ascii="Trebuchet MS" w:hAnsi="Trebuchet MS" w:cs="Arial"/>
          <w:color w:val="000000"/>
        </w:rPr>
        <w:lastRenderedPageBreak/>
        <w:t>Based on the risk level, the Subrecipient selected for monitoring will be required to provide a Subrecipient Project Update Report at a defined level of frequency in the table below</w:t>
      </w:r>
      <w:r w:rsidR="00FD0AEC" w:rsidRPr="00B51D69">
        <w:rPr>
          <w:rFonts w:ascii="Trebuchet MS" w:hAnsi="Trebuchet MS" w:cs="Arial"/>
          <w:color w:val="000000"/>
        </w:rPr>
        <w:t xml:space="preserve">. </w:t>
      </w:r>
      <w:r w:rsidRPr="00B51D69">
        <w:rPr>
          <w:rFonts w:ascii="Trebuchet MS" w:hAnsi="Trebuchet MS" w:cs="Arial"/>
          <w:color w:val="000000"/>
        </w:rPr>
        <w:t xml:space="preserve"> </w:t>
      </w:r>
      <w:r w:rsidR="00FD0AEC" w:rsidRPr="003B4369">
        <w:rPr>
          <w:rFonts w:ascii="Trebuchet MS" w:hAnsi="Trebuchet MS" w:cs="Arial"/>
          <w:color w:val="000000"/>
        </w:rPr>
        <w:t>T</w:t>
      </w:r>
      <w:r w:rsidRPr="003B4369">
        <w:rPr>
          <w:rFonts w:ascii="Trebuchet MS" w:hAnsi="Trebuchet MS" w:cs="Arial"/>
          <w:color w:val="000000"/>
        </w:rPr>
        <w:t xml:space="preserve">he Local Agency shall </w:t>
      </w:r>
      <w:r w:rsidR="00FD0AEC" w:rsidRPr="003B4369">
        <w:rPr>
          <w:rFonts w:ascii="Trebuchet MS" w:hAnsi="Trebuchet MS" w:cs="Arial"/>
          <w:color w:val="000000"/>
        </w:rPr>
        <w:t xml:space="preserve">submit the first Subrecipient Project Update Report to the </w:t>
      </w:r>
      <w:r w:rsidRPr="003B4369">
        <w:rPr>
          <w:rFonts w:ascii="Trebuchet MS" w:hAnsi="Trebuchet MS" w:cs="Arial"/>
          <w:color w:val="000000"/>
        </w:rPr>
        <w:t xml:space="preserve">CDOT Region Local Agency Coordinator </w:t>
      </w:r>
      <w:r w:rsidR="00FD0AEC" w:rsidRPr="003B4369">
        <w:rPr>
          <w:rFonts w:ascii="Trebuchet MS" w:hAnsi="Trebuchet MS" w:cs="Arial"/>
          <w:color w:val="000000"/>
        </w:rPr>
        <w:t>within 30 days following the first day of the quarter following the IGA execution, and subsequent reports as shown in the table below.</w:t>
      </w:r>
      <w:r w:rsidR="00FD0AEC" w:rsidRPr="00B51D69">
        <w:rPr>
          <w:rFonts w:ascii="Trebuchet MS" w:hAnsi="Trebuchet MS" w:cs="Arial"/>
          <w:color w:val="000000"/>
        </w:rPr>
        <w:t xml:space="preserve">  </w:t>
      </w:r>
    </w:p>
    <w:p w14:paraId="0EAB7BFC" w14:textId="77777777" w:rsidR="005872F2" w:rsidRPr="00B51D69" w:rsidRDefault="005872F2" w:rsidP="00FD0AEC">
      <w:pPr>
        <w:pStyle w:val="NormalWeb"/>
        <w:spacing w:before="0" w:beforeAutospacing="0" w:after="120" w:afterAutospacing="0"/>
        <w:rPr>
          <w:rFonts w:ascii="Trebuchet MS" w:hAnsi="Trebuchet MS"/>
        </w:rPr>
      </w:pPr>
      <w:r w:rsidRPr="00B51D69">
        <w:rPr>
          <w:rFonts w:ascii="Trebuchet MS" w:hAnsi="Trebuchet MS" w:cs="Arial"/>
          <w:color w:val="000000"/>
        </w:rPr>
        <w:t>Frequency of Project Update Report </w:t>
      </w:r>
    </w:p>
    <w:tbl>
      <w:tblPr>
        <w:tblW w:w="0" w:type="auto"/>
        <w:tblCellMar>
          <w:top w:w="15" w:type="dxa"/>
          <w:left w:w="15" w:type="dxa"/>
          <w:bottom w:w="15" w:type="dxa"/>
          <w:right w:w="15" w:type="dxa"/>
        </w:tblCellMar>
        <w:tblLook w:val="04A0" w:firstRow="1" w:lastRow="0" w:firstColumn="1" w:lastColumn="0" w:noHBand="0" w:noVBand="1"/>
      </w:tblPr>
      <w:tblGrid>
        <w:gridCol w:w="1970"/>
        <w:gridCol w:w="2131"/>
        <w:gridCol w:w="2909"/>
        <w:gridCol w:w="3050"/>
      </w:tblGrid>
      <w:tr w:rsidR="005872F2" w:rsidRPr="00B51D69" w14:paraId="60066E97" w14:textId="77777777" w:rsidTr="00A34D0E">
        <w:tc>
          <w:tcPr>
            <w:tcW w:w="1970" w:type="dxa"/>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hideMark/>
          </w:tcPr>
          <w:p w14:paraId="63C02C51" w14:textId="77777777" w:rsidR="005872F2" w:rsidRPr="00B51D69" w:rsidRDefault="005872F2">
            <w:pPr>
              <w:rPr>
                <w:rFonts w:ascii="Trebuchet MS" w:hAnsi="Trebuchet MS"/>
              </w:rPr>
            </w:pPr>
          </w:p>
        </w:tc>
        <w:tc>
          <w:tcPr>
            <w:tcW w:w="2131" w:type="dxa"/>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hideMark/>
          </w:tcPr>
          <w:p w14:paraId="5E70FAFD" w14:textId="77777777" w:rsidR="005872F2" w:rsidRPr="00B51D69" w:rsidRDefault="005872F2">
            <w:pPr>
              <w:pStyle w:val="NormalWeb"/>
              <w:spacing w:before="0" w:beforeAutospacing="0" w:after="0" w:afterAutospacing="0"/>
              <w:rPr>
                <w:rFonts w:ascii="Trebuchet MS" w:hAnsi="Trebuchet MS"/>
              </w:rPr>
            </w:pPr>
            <w:r w:rsidRPr="00B51D69">
              <w:rPr>
                <w:rFonts w:ascii="Trebuchet MS" w:hAnsi="Trebuchet MS" w:cs="Calibri"/>
                <w:b/>
                <w:bCs/>
                <w:color w:val="FCE5CD"/>
              </w:rPr>
              <w:t>Low</w:t>
            </w:r>
          </w:p>
        </w:tc>
        <w:tc>
          <w:tcPr>
            <w:tcW w:w="2909" w:type="dxa"/>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hideMark/>
          </w:tcPr>
          <w:p w14:paraId="2F599467" w14:textId="77777777" w:rsidR="005872F2" w:rsidRPr="00B51D69" w:rsidRDefault="005872F2">
            <w:pPr>
              <w:pStyle w:val="NormalWeb"/>
              <w:spacing w:before="0" w:beforeAutospacing="0" w:after="0" w:afterAutospacing="0"/>
              <w:rPr>
                <w:rFonts w:ascii="Trebuchet MS" w:hAnsi="Trebuchet MS"/>
              </w:rPr>
            </w:pPr>
            <w:r w:rsidRPr="00B51D69">
              <w:rPr>
                <w:rFonts w:ascii="Trebuchet MS" w:hAnsi="Trebuchet MS" w:cs="Calibri"/>
                <w:b/>
                <w:bCs/>
                <w:color w:val="FCE5CD"/>
              </w:rPr>
              <w:t>Medium </w:t>
            </w:r>
          </w:p>
        </w:tc>
        <w:tc>
          <w:tcPr>
            <w:tcW w:w="3050" w:type="dxa"/>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hideMark/>
          </w:tcPr>
          <w:p w14:paraId="1A9EFAC1" w14:textId="77777777" w:rsidR="005872F2" w:rsidRPr="00B51D69" w:rsidRDefault="005872F2">
            <w:pPr>
              <w:pStyle w:val="NormalWeb"/>
              <w:spacing w:before="0" w:beforeAutospacing="0" w:after="0" w:afterAutospacing="0"/>
              <w:rPr>
                <w:rFonts w:ascii="Trebuchet MS" w:hAnsi="Trebuchet MS"/>
              </w:rPr>
            </w:pPr>
            <w:r w:rsidRPr="00B51D69">
              <w:rPr>
                <w:rFonts w:ascii="Trebuchet MS" w:hAnsi="Trebuchet MS" w:cs="Calibri"/>
                <w:b/>
                <w:bCs/>
                <w:color w:val="FCE5CD"/>
              </w:rPr>
              <w:t>High</w:t>
            </w:r>
          </w:p>
        </w:tc>
      </w:tr>
      <w:tr w:rsidR="005872F2" w:rsidRPr="00B51D69" w14:paraId="0B39C265" w14:textId="77777777" w:rsidTr="00A34D0E">
        <w:trPr>
          <w:trHeight w:val="1610"/>
        </w:trPr>
        <w:tc>
          <w:tcPr>
            <w:tcW w:w="1970" w:type="dxa"/>
            <w:tcBorders>
              <w:top w:val="single" w:sz="8" w:space="0" w:color="000000"/>
              <w:left w:val="single" w:sz="8" w:space="0" w:color="000000"/>
              <w:bottom w:val="single" w:sz="8" w:space="0" w:color="000000"/>
              <w:right w:val="single" w:sz="8" w:space="0" w:color="000000"/>
            </w:tcBorders>
            <w:shd w:val="clear" w:color="auto" w:fill="4F81BD"/>
            <w:tcMar>
              <w:top w:w="100" w:type="dxa"/>
              <w:left w:w="100" w:type="dxa"/>
              <w:bottom w:w="100" w:type="dxa"/>
              <w:right w:w="100" w:type="dxa"/>
            </w:tcMar>
            <w:hideMark/>
          </w:tcPr>
          <w:p w14:paraId="71CD84B3" w14:textId="77777777" w:rsidR="005872F2" w:rsidRPr="00B51D69" w:rsidRDefault="005872F2">
            <w:pPr>
              <w:pStyle w:val="NormalWeb"/>
              <w:spacing w:before="0" w:beforeAutospacing="0" w:after="0" w:afterAutospacing="0"/>
              <w:rPr>
                <w:rFonts w:ascii="Trebuchet MS" w:hAnsi="Trebuchet MS"/>
              </w:rPr>
            </w:pPr>
            <w:r w:rsidRPr="00B51D69">
              <w:rPr>
                <w:rFonts w:ascii="Trebuchet MS" w:hAnsi="Trebuchet MS" w:cs="Calibri"/>
                <w:b/>
                <w:bCs/>
                <w:color w:val="FCE5CD"/>
              </w:rPr>
              <w:t>Frequency and Timelines</w:t>
            </w:r>
          </w:p>
        </w:tc>
        <w:tc>
          <w:tcPr>
            <w:tcW w:w="2131"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hideMark/>
          </w:tcPr>
          <w:p w14:paraId="7468ABCE" w14:textId="77777777" w:rsidR="005872F2" w:rsidRPr="00B51D69" w:rsidRDefault="005872F2">
            <w:pPr>
              <w:pStyle w:val="NormalWeb"/>
              <w:spacing w:before="0" w:beforeAutospacing="0" w:after="0" w:afterAutospacing="0"/>
              <w:rPr>
                <w:rFonts w:ascii="Trebuchet MS" w:hAnsi="Trebuchet MS"/>
              </w:rPr>
            </w:pPr>
            <w:r w:rsidRPr="00B51D69">
              <w:rPr>
                <w:rFonts w:ascii="Trebuchet MS" w:hAnsi="Trebuchet MS" w:cs="Calibri"/>
                <w:b/>
                <w:bCs/>
                <w:color w:val="000000"/>
              </w:rPr>
              <w:t>Annually</w:t>
            </w:r>
            <w:r w:rsidRPr="00B51D69">
              <w:rPr>
                <w:rFonts w:ascii="Trebuchet MS" w:hAnsi="Trebuchet MS" w:cs="Calibri"/>
                <w:color w:val="000000"/>
              </w:rPr>
              <w:t>: </w:t>
            </w:r>
          </w:p>
          <w:p w14:paraId="6E93E383" w14:textId="77777777" w:rsidR="005872F2" w:rsidRPr="00B51D69" w:rsidRDefault="005872F2">
            <w:pPr>
              <w:pStyle w:val="NormalWeb"/>
              <w:spacing w:before="0" w:beforeAutospacing="0" w:after="0" w:afterAutospacing="0"/>
              <w:rPr>
                <w:rFonts w:ascii="Trebuchet MS" w:hAnsi="Trebuchet MS"/>
              </w:rPr>
            </w:pPr>
            <w:r w:rsidRPr="00B51D69">
              <w:rPr>
                <w:rFonts w:ascii="Trebuchet MS" w:hAnsi="Trebuchet MS" w:cs="Calibri"/>
                <w:color w:val="000000"/>
              </w:rPr>
              <w:t>July 1 - June 30</w:t>
            </w:r>
          </w:p>
        </w:tc>
        <w:tc>
          <w:tcPr>
            <w:tcW w:w="2909"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hideMark/>
          </w:tcPr>
          <w:p w14:paraId="6DE2AAA8" w14:textId="77777777" w:rsidR="00A34D0E" w:rsidRDefault="005872F2">
            <w:pPr>
              <w:pStyle w:val="NormalWeb"/>
              <w:spacing w:before="0" w:beforeAutospacing="0" w:after="0" w:afterAutospacing="0"/>
              <w:rPr>
                <w:rFonts w:ascii="Trebuchet MS" w:hAnsi="Trebuchet MS" w:cs="Calibri"/>
                <w:color w:val="000000"/>
              </w:rPr>
            </w:pPr>
            <w:r w:rsidRPr="00B51D69">
              <w:rPr>
                <w:rFonts w:ascii="Trebuchet MS" w:hAnsi="Trebuchet MS" w:cs="Calibri"/>
                <w:b/>
                <w:bCs/>
                <w:color w:val="000000"/>
              </w:rPr>
              <w:t>Semiannually</w:t>
            </w:r>
            <w:r w:rsidRPr="00B51D69">
              <w:rPr>
                <w:rFonts w:ascii="Trebuchet MS" w:hAnsi="Trebuchet MS" w:cs="Calibri"/>
                <w:color w:val="000000"/>
              </w:rPr>
              <w:t xml:space="preserve">: </w:t>
            </w:r>
          </w:p>
          <w:p w14:paraId="3A8C0529" w14:textId="0E4450F6" w:rsidR="005872F2" w:rsidRPr="00B51D69" w:rsidRDefault="005872F2">
            <w:pPr>
              <w:pStyle w:val="NormalWeb"/>
              <w:spacing w:before="0" w:beforeAutospacing="0" w:after="0" w:afterAutospacing="0"/>
              <w:rPr>
                <w:rFonts w:ascii="Trebuchet MS" w:hAnsi="Trebuchet MS"/>
              </w:rPr>
            </w:pPr>
            <w:r w:rsidRPr="00B51D69">
              <w:rPr>
                <w:rFonts w:ascii="Trebuchet MS" w:hAnsi="Trebuchet MS" w:cs="Calibri"/>
                <w:color w:val="000000"/>
              </w:rPr>
              <w:t>(twice a year) </w:t>
            </w:r>
          </w:p>
          <w:p w14:paraId="6F006756" w14:textId="77777777" w:rsidR="00A34D0E" w:rsidRDefault="005872F2">
            <w:pPr>
              <w:pStyle w:val="NormalWeb"/>
              <w:spacing w:before="0" w:beforeAutospacing="0" w:after="0" w:afterAutospacing="0"/>
              <w:rPr>
                <w:rFonts w:ascii="Trebuchet MS" w:hAnsi="Trebuchet MS" w:cs="Calibri"/>
                <w:color w:val="000000"/>
              </w:rPr>
            </w:pPr>
            <w:r w:rsidRPr="00B51D69">
              <w:rPr>
                <w:rFonts w:ascii="Trebuchet MS" w:hAnsi="Trebuchet MS" w:cs="Calibri"/>
                <w:color w:val="000000"/>
              </w:rPr>
              <w:t xml:space="preserve">July  1 - December 31 </w:t>
            </w:r>
          </w:p>
          <w:p w14:paraId="28AED761" w14:textId="1FC8A220" w:rsidR="005872F2" w:rsidRPr="00B51D69" w:rsidRDefault="005872F2">
            <w:pPr>
              <w:pStyle w:val="NormalWeb"/>
              <w:spacing w:before="0" w:beforeAutospacing="0" w:after="0" w:afterAutospacing="0"/>
              <w:rPr>
                <w:rFonts w:ascii="Trebuchet MS" w:hAnsi="Trebuchet MS"/>
              </w:rPr>
            </w:pPr>
            <w:r w:rsidRPr="00B51D69">
              <w:rPr>
                <w:rFonts w:ascii="Trebuchet MS" w:hAnsi="Trebuchet MS" w:cs="Calibri"/>
                <w:color w:val="000000"/>
              </w:rPr>
              <w:t>January 1 - June 30</w:t>
            </w:r>
          </w:p>
        </w:tc>
        <w:tc>
          <w:tcPr>
            <w:tcW w:w="3050"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hideMark/>
          </w:tcPr>
          <w:p w14:paraId="568963C7" w14:textId="77777777" w:rsidR="005872F2" w:rsidRPr="00B51D69" w:rsidRDefault="005872F2">
            <w:pPr>
              <w:pStyle w:val="NormalWeb"/>
              <w:spacing w:before="0" w:beforeAutospacing="0" w:after="0" w:afterAutospacing="0"/>
              <w:rPr>
                <w:rFonts w:ascii="Trebuchet MS" w:hAnsi="Trebuchet MS"/>
              </w:rPr>
            </w:pPr>
            <w:r w:rsidRPr="00B51D69">
              <w:rPr>
                <w:rFonts w:ascii="Trebuchet MS" w:hAnsi="Trebuchet MS" w:cs="Calibri"/>
                <w:b/>
                <w:bCs/>
                <w:color w:val="000000"/>
              </w:rPr>
              <w:t>Quarterly</w:t>
            </w:r>
            <w:r w:rsidRPr="0031017C">
              <w:rPr>
                <w:rFonts w:ascii="Trebuchet MS" w:hAnsi="Trebuchet MS" w:cs="Calibri"/>
                <w:b/>
                <w:bCs/>
                <w:color w:val="000000"/>
              </w:rPr>
              <w:t>: </w:t>
            </w:r>
          </w:p>
          <w:p w14:paraId="6FC5A454" w14:textId="77777777" w:rsidR="005872F2" w:rsidRPr="00B51D69" w:rsidRDefault="005872F2">
            <w:pPr>
              <w:pStyle w:val="NormalWeb"/>
              <w:spacing w:before="0" w:beforeAutospacing="0" w:after="0" w:afterAutospacing="0"/>
              <w:rPr>
                <w:rFonts w:ascii="Trebuchet MS" w:hAnsi="Trebuchet MS"/>
              </w:rPr>
            </w:pPr>
            <w:r w:rsidRPr="00B51D69">
              <w:rPr>
                <w:rFonts w:ascii="Trebuchet MS" w:hAnsi="Trebuchet MS" w:cs="Calibri"/>
                <w:color w:val="000000"/>
              </w:rPr>
              <w:t>July 1 - September 30</w:t>
            </w:r>
          </w:p>
          <w:p w14:paraId="0C3E1EF5" w14:textId="77777777" w:rsidR="005872F2" w:rsidRPr="00B51D69" w:rsidRDefault="005872F2">
            <w:pPr>
              <w:pStyle w:val="NormalWeb"/>
              <w:spacing w:before="0" w:beforeAutospacing="0" w:after="0" w:afterAutospacing="0"/>
              <w:rPr>
                <w:rFonts w:ascii="Trebuchet MS" w:hAnsi="Trebuchet MS"/>
              </w:rPr>
            </w:pPr>
            <w:r w:rsidRPr="00B51D69">
              <w:rPr>
                <w:rFonts w:ascii="Trebuchet MS" w:hAnsi="Trebuchet MS" w:cs="Calibri"/>
                <w:color w:val="000000"/>
              </w:rPr>
              <w:t>October 1 - December 31</w:t>
            </w:r>
          </w:p>
          <w:p w14:paraId="46365AF8" w14:textId="77777777" w:rsidR="005872F2" w:rsidRPr="00B51D69" w:rsidRDefault="005872F2">
            <w:pPr>
              <w:pStyle w:val="NormalWeb"/>
              <w:spacing w:before="0" w:beforeAutospacing="0" w:after="0" w:afterAutospacing="0"/>
              <w:rPr>
                <w:rFonts w:ascii="Trebuchet MS" w:hAnsi="Trebuchet MS"/>
              </w:rPr>
            </w:pPr>
            <w:r w:rsidRPr="00B51D69">
              <w:rPr>
                <w:rFonts w:ascii="Trebuchet MS" w:hAnsi="Trebuchet MS" w:cs="Calibri"/>
                <w:color w:val="000000"/>
              </w:rPr>
              <w:t>January 1 - March 31</w:t>
            </w:r>
          </w:p>
          <w:p w14:paraId="2E4CBE40" w14:textId="77777777" w:rsidR="005872F2" w:rsidRPr="00B51D69" w:rsidRDefault="005872F2">
            <w:pPr>
              <w:pStyle w:val="NormalWeb"/>
              <w:spacing w:before="0" w:beforeAutospacing="0" w:after="0" w:afterAutospacing="0"/>
              <w:rPr>
                <w:rFonts w:ascii="Trebuchet MS" w:hAnsi="Trebuchet MS"/>
              </w:rPr>
            </w:pPr>
            <w:r w:rsidRPr="00B51D69">
              <w:rPr>
                <w:rFonts w:ascii="Trebuchet MS" w:hAnsi="Trebuchet MS" w:cs="Calibri"/>
                <w:color w:val="000000"/>
              </w:rPr>
              <w:t>April 1 - June 30</w:t>
            </w:r>
          </w:p>
          <w:p w14:paraId="512B7524" w14:textId="77777777" w:rsidR="005872F2" w:rsidRPr="00B51D69" w:rsidRDefault="005872F2">
            <w:pPr>
              <w:rPr>
                <w:rFonts w:ascii="Trebuchet MS" w:hAnsi="Trebuchet MS"/>
              </w:rPr>
            </w:pPr>
          </w:p>
        </w:tc>
      </w:tr>
    </w:tbl>
    <w:p w14:paraId="32516B69" w14:textId="77777777" w:rsidR="005872F2" w:rsidRPr="00B51D69" w:rsidRDefault="005872F2" w:rsidP="005872F2">
      <w:pPr>
        <w:autoSpaceDE w:val="0"/>
        <w:autoSpaceDN w:val="0"/>
        <w:adjustRightInd w:val="0"/>
        <w:rPr>
          <w:rFonts w:ascii="Trebuchet MS" w:hAnsi="Trebuchet MS" w:cs="Arial"/>
        </w:rPr>
      </w:pPr>
    </w:p>
    <w:p w14:paraId="1A9DC06D" w14:textId="24A41BE1" w:rsidR="00A34D0E" w:rsidRDefault="00A34D0E" w:rsidP="00C83B6F">
      <w:pPr>
        <w:autoSpaceDE w:val="0"/>
        <w:autoSpaceDN w:val="0"/>
        <w:adjustRightInd w:val="0"/>
        <w:ind w:left="720"/>
        <w:rPr>
          <w:rFonts w:ascii="Trebuchet MS" w:hAnsi="Trebuchet MS" w:cs="Arial"/>
        </w:rPr>
      </w:pPr>
      <w:r>
        <w:rPr>
          <w:rFonts w:ascii="Trebuchet MS" w:hAnsi="Trebuchet MS" w:cs="Arial"/>
        </w:rPr>
        <w:t>Reports are due 30 calendar days after the reporting period.  A final report will be due within 30 calendar days after the period of performance end date.</w:t>
      </w:r>
    </w:p>
    <w:p w14:paraId="609C0EED" w14:textId="77777777" w:rsidR="00A34D0E" w:rsidRDefault="00A34D0E" w:rsidP="00C83B6F">
      <w:pPr>
        <w:autoSpaceDE w:val="0"/>
        <w:autoSpaceDN w:val="0"/>
        <w:adjustRightInd w:val="0"/>
        <w:ind w:left="720"/>
        <w:rPr>
          <w:rFonts w:ascii="Trebuchet MS" w:hAnsi="Trebuchet MS" w:cs="Arial"/>
        </w:rPr>
      </w:pPr>
    </w:p>
    <w:p w14:paraId="0324926F" w14:textId="76420099" w:rsidR="005872F2" w:rsidRDefault="00C83B6F" w:rsidP="00C83B6F">
      <w:pPr>
        <w:autoSpaceDE w:val="0"/>
        <w:autoSpaceDN w:val="0"/>
        <w:adjustRightInd w:val="0"/>
        <w:ind w:left="720"/>
        <w:rPr>
          <w:rFonts w:ascii="Trebuchet MS" w:hAnsi="Trebuchet MS" w:cs="Arial"/>
        </w:rPr>
      </w:pPr>
      <w:r w:rsidRPr="00A34D0E">
        <w:rPr>
          <w:rFonts w:ascii="Trebuchet MS" w:hAnsi="Trebuchet MS" w:cs="Arial"/>
        </w:rPr>
        <w:t xml:space="preserve">For projects in </w:t>
      </w:r>
      <w:r w:rsidR="00A34D0E">
        <w:rPr>
          <w:rFonts w:ascii="Trebuchet MS" w:hAnsi="Trebuchet MS" w:cs="Arial"/>
        </w:rPr>
        <w:t>p</w:t>
      </w:r>
      <w:r w:rsidRPr="00A34D0E">
        <w:rPr>
          <w:rFonts w:ascii="Trebuchet MS" w:hAnsi="Trebuchet MS" w:cs="Arial"/>
        </w:rPr>
        <w:t>rogress as of December 1, 2023 Subrecipient Project Update Reports will begin</w:t>
      </w:r>
      <w:r w:rsidR="00FD0AEC" w:rsidRPr="00A34D0E">
        <w:rPr>
          <w:rFonts w:ascii="Trebuchet MS" w:hAnsi="Trebuchet MS" w:cs="Arial"/>
        </w:rPr>
        <w:t xml:space="preserve"> to be</w:t>
      </w:r>
      <w:r w:rsidRPr="00A34D0E">
        <w:rPr>
          <w:rFonts w:ascii="Trebuchet MS" w:hAnsi="Trebuchet MS" w:cs="Arial"/>
        </w:rPr>
        <w:t xml:space="preserve"> required at the frequency shown above </w:t>
      </w:r>
      <w:r w:rsidR="00FD0AEC" w:rsidRPr="00A34D0E">
        <w:rPr>
          <w:rFonts w:ascii="Trebuchet MS" w:hAnsi="Trebuchet MS" w:cs="Arial"/>
        </w:rPr>
        <w:t>within 30 days of the beginning of the</w:t>
      </w:r>
      <w:r w:rsidRPr="00A34D0E">
        <w:rPr>
          <w:rFonts w:ascii="Trebuchet MS" w:hAnsi="Trebuchet MS" w:cs="Arial"/>
        </w:rPr>
        <w:t xml:space="preserve"> next quarter.  The Subrecipient Project Update Report is not required if a project is in the final construction season, unless requested by the CDOT Project Manager.</w:t>
      </w:r>
      <w:bookmarkStart w:id="1" w:name="_GoBack"/>
      <w:bookmarkEnd w:id="1"/>
    </w:p>
    <w:p w14:paraId="556F85BA" w14:textId="77777777" w:rsidR="00A558B7" w:rsidRDefault="00A558B7" w:rsidP="00C83B6F">
      <w:pPr>
        <w:autoSpaceDE w:val="0"/>
        <w:autoSpaceDN w:val="0"/>
        <w:adjustRightInd w:val="0"/>
        <w:ind w:left="720"/>
        <w:rPr>
          <w:rFonts w:ascii="Trebuchet MS" w:hAnsi="Trebuchet MS" w:cs="Arial"/>
        </w:rPr>
      </w:pPr>
    </w:p>
    <w:p w14:paraId="1CEC1C1F" w14:textId="77777777" w:rsidR="00C83B6F" w:rsidRPr="00B51D69" w:rsidRDefault="00C83B6F" w:rsidP="00B93AA0">
      <w:pPr>
        <w:autoSpaceDE w:val="0"/>
        <w:autoSpaceDN w:val="0"/>
        <w:adjustRightInd w:val="0"/>
        <w:rPr>
          <w:rFonts w:ascii="Trebuchet MS" w:hAnsi="Trebuchet MS" w:cs="Arial"/>
        </w:rPr>
      </w:pPr>
    </w:p>
    <w:p w14:paraId="5631C8CB" w14:textId="2242279A" w:rsidR="007942E6" w:rsidRPr="00B51D69" w:rsidRDefault="007942E6" w:rsidP="00813543">
      <w:pPr>
        <w:pStyle w:val="ListParagraph"/>
        <w:numPr>
          <w:ilvl w:val="0"/>
          <w:numId w:val="12"/>
        </w:numPr>
        <w:autoSpaceDE w:val="0"/>
        <w:autoSpaceDN w:val="0"/>
        <w:adjustRightInd w:val="0"/>
        <w:rPr>
          <w:rFonts w:ascii="Trebuchet MS" w:hAnsi="Trebuchet MS" w:cs="Arial"/>
        </w:rPr>
      </w:pPr>
      <w:r w:rsidRPr="003E133C">
        <w:rPr>
          <w:rFonts w:ascii="Trebuchet MS" w:hAnsi="Trebuchet MS" w:cs="Arial"/>
          <w:b/>
        </w:rPr>
        <w:t>CDOT Monitoring Report of Subrecipients</w:t>
      </w:r>
      <w:r w:rsidRPr="00B51D69">
        <w:rPr>
          <w:rFonts w:ascii="Trebuchet MS" w:hAnsi="Trebuchet MS" w:cs="Arial"/>
        </w:rPr>
        <w:t>:  Revised to coincide with updates to the Subrecipient Monitoring and Risk Assessment Manual</w:t>
      </w:r>
      <w:r w:rsidR="005872F2" w:rsidRPr="00B51D69">
        <w:rPr>
          <w:rFonts w:ascii="Trebuchet MS" w:hAnsi="Trebuchet MS" w:cs="Arial"/>
        </w:rPr>
        <w:t>.</w:t>
      </w:r>
    </w:p>
    <w:p w14:paraId="16BDDCA7" w14:textId="77777777" w:rsidR="005872F2" w:rsidRPr="00B51D69" w:rsidRDefault="005872F2" w:rsidP="0018106C">
      <w:pPr>
        <w:autoSpaceDE w:val="0"/>
        <w:autoSpaceDN w:val="0"/>
        <w:adjustRightInd w:val="0"/>
        <w:ind w:left="720"/>
        <w:rPr>
          <w:rFonts w:ascii="Trebuchet MS" w:hAnsi="Trebuchet MS" w:cs="Arial"/>
        </w:rPr>
      </w:pPr>
    </w:p>
    <w:bookmarkStart w:id="2" w:name="_MON_1762769076"/>
    <w:bookmarkEnd w:id="2"/>
    <w:p w14:paraId="79A0C0CB" w14:textId="1B9651A0" w:rsidR="000746B4" w:rsidRDefault="003B3A34" w:rsidP="00A34D0E">
      <w:pPr>
        <w:tabs>
          <w:tab w:val="left" w:pos="720"/>
        </w:tabs>
        <w:autoSpaceDE w:val="0"/>
        <w:autoSpaceDN w:val="0"/>
        <w:adjustRightInd w:val="0"/>
        <w:ind w:left="720"/>
        <w:rPr>
          <w:rFonts w:ascii="Trebuchet MS" w:hAnsi="Trebuchet MS" w:cs="Arial"/>
        </w:rPr>
      </w:pPr>
      <w:r>
        <w:rPr>
          <w:rFonts w:ascii="Trebuchet MS" w:hAnsi="Trebuchet MS" w:cs="Arial"/>
        </w:rPr>
        <w:object w:dxaOrig="1520" w:dyaOrig="985" w14:anchorId="0942E6EC">
          <v:shape id="_x0000_i1028" type="#_x0000_t75" alt="CDOT Monitoring Report of Subrecipients" style="width:75.7pt;height:49.35pt" o:ole="">
            <v:imagedata r:id="rId18" o:title=""/>
          </v:shape>
          <o:OLEObject Type="Embed" ProgID="Word.Document.12" ShapeID="_x0000_i1028" DrawAspect="Icon" ObjectID="_1763188002" r:id="rId19">
            <o:FieldCodes>\s</o:FieldCodes>
          </o:OLEObject>
        </w:object>
      </w:r>
    </w:p>
    <w:p w14:paraId="07DA2DD9" w14:textId="67FA96C6" w:rsidR="000E231D" w:rsidRDefault="000E231D" w:rsidP="00757DFF">
      <w:pPr>
        <w:rPr>
          <w:rFonts w:ascii="Trebuchet MS" w:hAnsi="Trebuchet MS" w:cs="Arial"/>
        </w:rPr>
      </w:pPr>
    </w:p>
    <w:p w14:paraId="13772198" w14:textId="343CB6C8" w:rsidR="00BA1717" w:rsidRDefault="00BA1717" w:rsidP="00757DFF">
      <w:pPr>
        <w:rPr>
          <w:rFonts w:ascii="Trebuchet MS" w:hAnsi="Trebuchet MS" w:cs="Arial"/>
        </w:rPr>
      </w:pPr>
    </w:p>
    <w:p w14:paraId="183CE136" w14:textId="087FEDA3" w:rsidR="00BA1717" w:rsidRDefault="00BA1717" w:rsidP="00757DFF">
      <w:pPr>
        <w:rPr>
          <w:rFonts w:ascii="Trebuchet MS" w:hAnsi="Trebuchet MS" w:cs="Arial"/>
        </w:rPr>
      </w:pPr>
    </w:p>
    <w:p w14:paraId="2ECC4C6D" w14:textId="55E63523" w:rsidR="00BA1717" w:rsidRDefault="00BA1717" w:rsidP="00757DFF">
      <w:pPr>
        <w:rPr>
          <w:rFonts w:ascii="Trebuchet MS" w:hAnsi="Trebuchet MS" w:cs="Arial"/>
        </w:rPr>
      </w:pPr>
    </w:p>
    <w:p w14:paraId="7B9156C7" w14:textId="77777777" w:rsidR="00BA1717" w:rsidRDefault="00BA1717" w:rsidP="00757DFF">
      <w:pPr>
        <w:rPr>
          <w:rFonts w:ascii="Trebuchet MS" w:hAnsi="Trebuchet MS" w:cs="Arial"/>
        </w:rPr>
      </w:pPr>
    </w:p>
    <w:p w14:paraId="01ACD1C1" w14:textId="77777777" w:rsidR="000E231D" w:rsidRDefault="000E231D" w:rsidP="00757DFF">
      <w:pPr>
        <w:rPr>
          <w:rFonts w:ascii="Trebuchet MS" w:hAnsi="Trebuchet MS" w:cs="Arial"/>
        </w:rPr>
      </w:pPr>
    </w:p>
    <w:p w14:paraId="134F41F3" w14:textId="3CBD717D" w:rsidR="0018369D" w:rsidRPr="00B51D69" w:rsidRDefault="0018369D" w:rsidP="00757DFF">
      <w:pPr>
        <w:rPr>
          <w:rFonts w:ascii="Trebuchet MS" w:hAnsi="Trebuchet MS" w:cs="Arial"/>
        </w:rPr>
      </w:pPr>
      <w:r w:rsidRPr="00B51D69">
        <w:rPr>
          <w:rFonts w:ascii="Trebuchet MS" w:hAnsi="Trebuchet MS" w:cs="Arial"/>
        </w:rPr>
        <w:t>Local Agency</w:t>
      </w:r>
      <w:r w:rsidR="00A34D0E">
        <w:rPr>
          <w:rFonts w:ascii="Trebuchet MS" w:hAnsi="Trebuchet MS" w:cs="Arial"/>
        </w:rPr>
        <w:t xml:space="preserve"> (Subrecipient)</w:t>
      </w:r>
      <w:r w:rsidRPr="00B51D69">
        <w:rPr>
          <w:rFonts w:ascii="Trebuchet MS" w:hAnsi="Trebuchet MS" w:cs="Arial"/>
        </w:rPr>
        <w:t xml:space="preserve"> Staff responsibilities related to this change:</w:t>
      </w:r>
    </w:p>
    <w:p w14:paraId="36CC8F03" w14:textId="77777777" w:rsidR="0018369D" w:rsidRPr="00B51D69" w:rsidRDefault="0018369D" w:rsidP="00757DFF">
      <w:pPr>
        <w:rPr>
          <w:rFonts w:ascii="Trebuchet MS" w:hAnsi="Trebuchet MS" w:cs="Arial"/>
        </w:rPr>
      </w:pPr>
    </w:p>
    <w:p w14:paraId="2168EE15" w14:textId="1F80F8B3" w:rsidR="0018369D" w:rsidRPr="00B51D69" w:rsidRDefault="005872F2" w:rsidP="007B7D0A">
      <w:pPr>
        <w:pStyle w:val="ListParagraph"/>
        <w:numPr>
          <w:ilvl w:val="0"/>
          <w:numId w:val="13"/>
        </w:numPr>
        <w:rPr>
          <w:rFonts w:ascii="Trebuchet MS" w:hAnsi="Trebuchet MS" w:cs="Arial"/>
        </w:rPr>
      </w:pPr>
      <w:r w:rsidRPr="00B51D69">
        <w:rPr>
          <w:rFonts w:ascii="Trebuchet MS" w:hAnsi="Trebuchet MS" w:cs="Arial"/>
        </w:rPr>
        <w:t xml:space="preserve">Coordinate </w:t>
      </w:r>
      <w:r w:rsidR="0018369D" w:rsidRPr="00B51D69">
        <w:rPr>
          <w:rFonts w:ascii="Trebuchet MS" w:hAnsi="Trebuchet MS" w:cs="Arial"/>
        </w:rPr>
        <w:t xml:space="preserve">with </w:t>
      </w:r>
      <w:r w:rsidRPr="00B51D69">
        <w:rPr>
          <w:rFonts w:ascii="Trebuchet MS" w:hAnsi="Trebuchet MS" w:cs="Arial"/>
        </w:rPr>
        <w:t xml:space="preserve">the </w:t>
      </w:r>
      <w:r w:rsidR="0018369D" w:rsidRPr="00B51D69">
        <w:rPr>
          <w:rFonts w:ascii="Trebuchet MS" w:hAnsi="Trebuchet MS" w:cs="Arial"/>
        </w:rPr>
        <w:t>CDOT</w:t>
      </w:r>
      <w:r w:rsidRPr="00B51D69">
        <w:rPr>
          <w:rFonts w:ascii="Trebuchet MS" w:hAnsi="Trebuchet MS" w:cs="Arial"/>
        </w:rPr>
        <w:t xml:space="preserve"> Project Manager</w:t>
      </w:r>
      <w:r w:rsidR="0018369D" w:rsidRPr="00B51D69">
        <w:rPr>
          <w:rFonts w:ascii="Trebuchet MS" w:hAnsi="Trebuchet MS" w:cs="Arial"/>
        </w:rPr>
        <w:t xml:space="preserve"> to execute and update the Subrecipient Risk Assessment</w:t>
      </w:r>
      <w:r w:rsidR="00813543" w:rsidRPr="00B51D69">
        <w:rPr>
          <w:rFonts w:ascii="Trebuchet MS" w:hAnsi="Trebuchet MS" w:cs="Arial"/>
        </w:rPr>
        <w:t xml:space="preserve"> (</w:t>
      </w:r>
      <w:r w:rsidR="00813543" w:rsidRPr="00B51D69">
        <w:rPr>
          <w:rFonts w:ascii="Trebuchet MS" w:hAnsi="Trebuchet MS" w:cs="Arial"/>
          <w:i/>
          <w:iCs/>
        </w:rPr>
        <w:t>2 CFR 200 risk assessment</w:t>
      </w:r>
      <w:r w:rsidR="00813543" w:rsidRPr="00B51D69">
        <w:rPr>
          <w:rFonts w:ascii="Trebuchet MS" w:hAnsi="Trebuchet MS" w:cs="Arial"/>
        </w:rPr>
        <w:t xml:space="preserve">) </w:t>
      </w:r>
      <w:r w:rsidR="0018369D" w:rsidRPr="00B51D69">
        <w:rPr>
          <w:rFonts w:ascii="Trebuchet MS" w:hAnsi="Trebuchet MS" w:cs="Arial"/>
        </w:rPr>
        <w:t xml:space="preserve">as noted in </w:t>
      </w:r>
      <w:r w:rsidR="00813543" w:rsidRPr="00B51D69">
        <w:rPr>
          <w:rFonts w:ascii="Trebuchet MS" w:hAnsi="Trebuchet MS" w:cs="Arial"/>
        </w:rPr>
        <w:t xml:space="preserve">the CDOT Local Agency Project Desk Reference and according to the schedule noted </w:t>
      </w:r>
      <w:r w:rsidR="007B7D0A" w:rsidRPr="00B51D69">
        <w:rPr>
          <w:rFonts w:ascii="Trebuchet MS" w:hAnsi="Trebuchet MS" w:cs="Arial"/>
        </w:rPr>
        <w:t>above.</w:t>
      </w:r>
      <w:r w:rsidR="00813543" w:rsidRPr="00B51D69">
        <w:rPr>
          <w:rFonts w:ascii="Trebuchet MS" w:hAnsi="Trebuchet MS" w:cs="Arial"/>
        </w:rPr>
        <w:t xml:space="preserve"> </w:t>
      </w:r>
      <w:r w:rsidR="008F4C06" w:rsidRPr="00B51D69">
        <w:rPr>
          <w:rFonts w:ascii="Trebuchet MS" w:hAnsi="Trebuchet MS" w:cs="Arial"/>
        </w:rPr>
        <w:t xml:space="preserve"> </w:t>
      </w:r>
      <w:r w:rsidR="008F4C06" w:rsidRPr="00A34D0E">
        <w:rPr>
          <w:rFonts w:ascii="Trebuchet MS" w:hAnsi="Trebuchet MS" w:cs="Arial"/>
        </w:rPr>
        <w:t xml:space="preserve">For projects in Progress as of December 1, 2023 an updated Risk Assessment will be required at the frequency shown above as calculated from the date of the IGA </w:t>
      </w:r>
      <w:r w:rsidR="00A34D0E" w:rsidRPr="00A34D0E">
        <w:rPr>
          <w:rFonts w:ascii="Trebuchet MS" w:hAnsi="Trebuchet MS" w:cs="Arial"/>
        </w:rPr>
        <w:t xml:space="preserve">execution </w:t>
      </w:r>
      <w:r w:rsidR="008F4C06" w:rsidRPr="00A34D0E">
        <w:rPr>
          <w:rFonts w:ascii="Trebuchet MS" w:hAnsi="Trebuchet MS" w:cs="Arial"/>
        </w:rPr>
        <w:t xml:space="preserve">date.  An updated </w:t>
      </w:r>
      <w:r w:rsidR="00A34D0E">
        <w:rPr>
          <w:rFonts w:ascii="Trebuchet MS" w:hAnsi="Trebuchet MS" w:cs="Arial"/>
        </w:rPr>
        <w:t>R</w:t>
      </w:r>
      <w:r w:rsidR="008F4C06" w:rsidRPr="00A34D0E">
        <w:rPr>
          <w:rFonts w:ascii="Trebuchet MS" w:hAnsi="Trebuchet MS" w:cs="Arial"/>
        </w:rPr>
        <w:t xml:space="preserve">isk </w:t>
      </w:r>
      <w:r w:rsidR="00A34D0E">
        <w:rPr>
          <w:rFonts w:ascii="Trebuchet MS" w:hAnsi="Trebuchet MS" w:cs="Arial"/>
        </w:rPr>
        <w:t>A</w:t>
      </w:r>
      <w:r w:rsidR="008F4C06" w:rsidRPr="00A34D0E">
        <w:rPr>
          <w:rFonts w:ascii="Trebuchet MS" w:hAnsi="Trebuchet MS" w:cs="Arial"/>
        </w:rPr>
        <w:t>ssessment is not required if a project is in the final construction season.</w:t>
      </w:r>
    </w:p>
    <w:p w14:paraId="00CCC369" w14:textId="77777777" w:rsidR="007B7D0A" w:rsidRPr="00B51D69" w:rsidRDefault="007B7D0A" w:rsidP="007B7D0A">
      <w:pPr>
        <w:pStyle w:val="ListParagraph"/>
        <w:rPr>
          <w:rFonts w:ascii="Trebuchet MS" w:hAnsi="Trebuchet MS" w:cs="Arial"/>
        </w:rPr>
      </w:pPr>
    </w:p>
    <w:p w14:paraId="240F3218" w14:textId="77DA6381" w:rsidR="007B7D0A" w:rsidRPr="00B51D69" w:rsidRDefault="007B7D0A" w:rsidP="008F4C06">
      <w:pPr>
        <w:autoSpaceDE w:val="0"/>
        <w:autoSpaceDN w:val="0"/>
        <w:adjustRightInd w:val="0"/>
        <w:ind w:left="720"/>
        <w:rPr>
          <w:rFonts w:ascii="Trebuchet MS" w:hAnsi="Trebuchet MS" w:cs="Arial"/>
        </w:rPr>
      </w:pPr>
      <w:r w:rsidRPr="00B51D69">
        <w:rPr>
          <w:rFonts w:ascii="Trebuchet MS" w:hAnsi="Trebuchet MS" w:cs="Arial"/>
        </w:rPr>
        <w:t>Submit to the CDOT Project Manager the Subrecipient Project Update Report according to the schedule noted above.</w:t>
      </w:r>
      <w:r w:rsidR="008F4C06" w:rsidRPr="00B51D69">
        <w:rPr>
          <w:rFonts w:ascii="Trebuchet MS" w:hAnsi="Trebuchet MS" w:cs="Arial"/>
        </w:rPr>
        <w:t xml:space="preserve">  </w:t>
      </w:r>
      <w:r w:rsidR="00FD0AEC" w:rsidRPr="00A34D0E">
        <w:rPr>
          <w:rFonts w:ascii="Trebuchet MS" w:hAnsi="Trebuchet MS" w:cs="Arial"/>
        </w:rPr>
        <w:t>For projects in Progress as of December 1, 2023 Subrecipient Project Update Reports will begin to be required at the frequency shown above within 30 days of the beginning of the next quarter.  The Subrecipient Project Update Report is not required if a project is in the final construction season, unless requested by the CDOT Project Manager.</w:t>
      </w:r>
    </w:p>
    <w:p w14:paraId="1E97EA13" w14:textId="77777777" w:rsidR="0018369D" w:rsidRPr="00B51D69" w:rsidRDefault="0018369D" w:rsidP="00757DFF">
      <w:pPr>
        <w:rPr>
          <w:rFonts w:ascii="Trebuchet MS" w:hAnsi="Trebuchet MS" w:cs="Arial"/>
        </w:rPr>
      </w:pPr>
    </w:p>
    <w:p w14:paraId="1333C18C" w14:textId="7F5F253F" w:rsidR="0018369D" w:rsidRPr="00B51D69" w:rsidRDefault="0018369D" w:rsidP="0018369D">
      <w:pPr>
        <w:rPr>
          <w:rFonts w:ascii="Trebuchet MS" w:hAnsi="Trebuchet MS" w:cs="Arial"/>
        </w:rPr>
      </w:pPr>
      <w:r w:rsidRPr="00B51D69">
        <w:rPr>
          <w:rFonts w:ascii="Trebuchet MS" w:hAnsi="Trebuchet MS" w:cs="Arial"/>
        </w:rPr>
        <w:t xml:space="preserve">This bulletin updates the Local Agency Desk Reference to specify needed </w:t>
      </w:r>
      <w:r w:rsidR="008F4C06" w:rsidRPr="00B51D69">
        <w:rPr>
          <w:rFonts w:ascii="Trebuchet MS" w:hAnsi="Trebuchet MS" w:cs="Arial"/>
        </w:rPr>
        <w:t xml:space="preserve">Subrecipient Monitoring and </w:t>
      </w:r>
      <w:r w:rsidRPr="00B51D69">
        <w:rPr>
          <w:rFonts w:ascii="Trebuchet MS" w:hAnsi="Trebuchet MS" w:cs="Arial"/>
        </w:rPr>
        <w:t>Risk Assessment updates according to the schedule</w:t>
      </w:r>
      <w:r w:rsidR="008F4C06" w:rsidRPr="00B51D69">
        <w:rPr>
          <w:rFonts w:ascii="Trebuchet MS" w:hAnsi="Trebuchet MS" w:cs="Arial"/>
        </w:rPr>
        <w:t>s</w:t>
      </w:r>
      <w:r w:rsidRPr="00B51D69">
        <w:rPr>
          <w:rFonts w:ascii="Trebuchet MS" w:hAnsi="Trebuchet MS" w:cs="Arial"/>
        </w:rPr>
        <w:t xml:space="preserve"> noted above</w:t>
      </w:r>
      <w:r w:rsidR="005872F2" w:rsidRPr="00B51D69">
        <w:rPr>
          <w:rFonts w:ascii="Trebuchet MS" w:hAnsi="Trebuchet MS" w:cs="Arial"/>
        </w:rPr>
        <w:t>.</w:t>
      </w:r>
    </w:p>
    <w:p w14:paraId="3D1B853D" w14:textId="77777777" w:rsidR="00813543" w:rsidRPr="00B51D69" w:rsidRDefault="00813543" w:rsidP="0018369D">
      <w:pPr>
        <w:rPr>
          <w:rFonts w:ascii="Trebuchet MS" w:hAnsi="Trebuchet MS" w:cs="Arial"/>
        </w:rPr>
      </w:pPr>
    </w:p>
    <w:p w14:paraId="17B45517" w14:textId="77777777" w:rsidR="00813543" w:rsidRPr="00B51D69" w:rsidRDefault="00813543" w:rsidP="00813543">
      <w:pPr>
        <w:rPr>
          <w:rFonts w:ascii="Trebuchet MS" w:hAnsi="Trebuchet MS" w:cs="Arial"/>
        </w:rPr>
      </w:pPr>
      <w:r w:rsidRPr="00B51D69">
        <w:rPr>
          <w:rFonts w:ascii="Trebuchet MS" w:hAnsi="Trebuchet MS" w:cs="Arial"/>
        </w:rPr>
        <w:t>This Bulletin becomes effective on the date of issuance for new Local Agency infrastructure projects. Please print out or electronically retain this information and update your copy of the Manual.  For additional questions, contact your CDOT Region Local Agency Coordinator or CDOT Project Manager.</w:t>
      </w:r>
    </w:p>
    <w:p w14:paraId="3A5CDDC3" w14:textId="77777777" w:rsidR="00813543" w:rsidRPr="0018369D" w:rsidRDefault="00813543" w:rsidP="0018369D">
      <w:pPr>
        <w:rPr>
          <w:rFonts w:ascii="Arial" w:hAnsi="Arial" w:cs="Arial"/>
          <w:sz w:val="22"/>
          <w:szCs w:val="22"/>
        </w:rPr>
      </w:pPr>
    </w:p>
    <w:sectPr w:rsidR="00813543" w:rsidRPr="0018369D" w:rsidSect="00780129">
      <w:headerReference w:type="default" r:id="rId20"/>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403A6" w14:textId="77777777" w:rsidR="00917B0D" w:rsidRDefault="00917B0D">
      <w:r>
        <w:separator/>
      </w:r>
    </w:p>
  </w:endnote>
  <w:endnote w:type="continuationSeparator" w:id="0">
    <w:p w14:paraId="5D03E6AD" w14:textId="77777777" w:rsidR="00917B0D" w:rsidRDefault="00917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68066" w14:textId="77777777" w:rsidR="00917B0D" w:rsidRDefault="00917B0D">
      <w:r>
        <w:separator/>
      </w:r>
    </w:p>
  </w:footnote>
  <w:footnote w:type="continuationSeparator" w:id="0">
    <w:p w14:paraId="360DBAB9" w14:textId="77777777" w:rsidR="00917B0D" w:rsidRDefault="00917B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4A0" w:firstRow="1" w:lastRow="0" w:firstColumn="1" w:lastColumn="0" w:noHBand="0" w:noVBand="1"/>
    </w:tblPr>
    <w:tblGrid>
      <w:gridCol w:w="3438"/>
      <w:gridCol w:w="2160"/>
      <w:gridCol w:w="4698"/>
    </w:tblGrid>
    <w:tr w:rsidR="00C630AA" w14:paraId="06D71AA4" w14:textId="77777777" w:rsidTr="00995A96">
      <w:tc>
        <w:tcPr>
          <w:tcW w:w="3438" w:type="dxa"/>
          <w:vMerge w:val="restart"/>
          <w:vAlign w:val="center"/>
        </w:tcPr>
        <w:p w14:paraId="34A2D156" w14:textId="6172F5BE" w:rsidR="00BC62E7" w:rsidRDefault="00421AB7" w:rsidP="003F33AB">
          <w:pPr>
            <w:rPr>
              <w:noProof/>
            </w:rPr>
          </w:pPr>
          <w:r>
            <w:rPr>
              <w:noProof/>
            </w:rPr>
            <w:drawing>
              <wp:inline distT="0" distB="0" distL="0" distR="0" wp14:anchorId="124A604E" wp14:editId="25AA9496">
                <wp:extent cx="2045970" cy="607695"/>
                <wp:effectExtent l="0" t="0" r="0" b="1905"/>
                <wp:docPr id="1" name="Picture 1" descr="CDOT Local Agency Logo" title="CDOT Local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cal Agency Logo.png"/>
                        <pic:cNvPicPr/>
                      </pic:nvPicPr>
                      <pic:blipFill>
                        <a:blip r:embed="rId1">
                          <a:extLst>
                            <a:ext uri="{28A0092B-C50C-407E-A947-70E740481C1C}">
                              <a14:useLocalDpi xmlns:a14="http://schemas.microsoft.com/office/drawing/2010/main" val="0"/>
                            </a:ext>
                          </a:extLst>
                        </a:blip>
                        <a:stretch>
                          <a:fillRect/>
                        </a:stretch>
                      </pic:blipFill>
                      <pic:spPr>
                        <a:xfrm>
                          <a:off x="0" y="0"/>
                          <a:ext cx="2045970" cy="607695"/>
                        </a:xfrm>
                        <a:prstGeom prst="rect">
                          <a:avLst/>
                        </a:prstGeom>
                      </pic:spPr>
                    </pic:pic>
                  </a:graphicData>
                </a:graphic>
              </wp:inline>
            </w:drawing>
          </w:r>
        </w:p>
        <w:p w14:paraId="479706AB" w14:textId="77777777" w:rsidR="00C630AA" w:rsidRDefault="00C630AA" w:rsidP="002F4521"/>
        <w:p w14:paraId="6BEC6E9F" w14:textId="77777777" w:rsidR="00AB112B" w:rsidRDefault="00AB112B" w:rsidP="002F4521"/>
        <w:p w14:paraId="499785BE" w14:textId="77777777" w:rsidR="00AB112B" w:rsidRDefault="00AB112B" w:rsidP="002F4521"/>
        <w:p w14:paraId="06D71AA2" w14:textId="071E34AA" w:rsidR="00AB112B" w:rsidRDefault="00AB112B" w:rsidP="002F4521"/>
      </w:tc>
      <w:tc>
        <w:tcPr>
          <w:tcW w:w="6858" w:type="dxa"/>
          <w:gridSpan w:val="2"/>
          <w:vAlign w:val="center"/>
        </w:tcPr>
        <w:p w14:paraId="06D71AA3" w14:textId="0F0A9452" w:rsidR="00C630AA" w:rsidRPr="00032578" w:rsidRDefault="00324470" w:rsidP="00995A96">
          <w:pPr>
            <w:spacing w:before="120"/>
            <w:jc w:val="center"/>
            <w:rPr>
              <w:rFonts w:ascii="Impact" w:hAnsi="Impact"/>
              <w:b/>
              <w:sz w:val="68"/>
              <w:szCs w:val="68"/>
            </w:rPr>
          </w:pPr>
          <w:r w:rsidRPr="00032578">
            <w:rPr>
              <w:rFonts w:ascii="Impact" w:hAnsi="Impact"/>
              <w:b/>
              <w:sz w:val="68"/>
              <w:szCs w:val="68"/>
            </w:rPr>
            <w:t>L</w:t>
          </w:r>
          <w:r w:rsidR="00F36A54">
            <w:rPr>
              <w:rFonts w:ascii="Impact" w:hAnsi="Impact"/>
              <w:b/>
              <w:sz w:val="68"/>
              <w:szCs w:val="68"/>
            </w:rPr>
            <w:t>ocal</w:t>
          </w:r>
          <w:r w:rsidRPr="00032578">
            <w:rPr>
              <w:rFonts w:ascii="Impact" w:hAnsi="Impact"/>
              <w:b/>
              <w:sz w:val="68"/>
              <w:szCs w:val="68"/>
            </w:rPr>
            <w:t xml:space="preserve"> </w:t>
          </w:r>
          <w:r w:rsidR="00032578">
            <w:rPr>
              <w:rFonts w:ascii="Impact" w:hAnsi="Impact"/>
              <w:b/>
              <w:sz w:val="68"/>
              <w:szCs w:val="68"/>
            </w:rPr>
            <w:t xml:space="preserve"> </w:t>
          </w:r>
          <w:r w:rsidRPr="00032578">
            <w:rPr>
              <w:rFonts w:ascii="Impact" w:hAnsi="Impact"/>
              <w:b/>
              <w:sz w:val="68"/>
              <w:szCs w:val="68"/>
            </w:rPr>
            <w:t>A</w:t>
          </w:r>
          <w:r w:rsidR="00F36A54">
            <w:rPr>
              <w:rFonts w:ascii="Impact" w:hAnsi="Impact"/>
              <w:b/>
              <w:sz w:val="68"/>
              <w:szCs w:val="68"/>
            </w:rPr>
            <w:t>gency</w:t>
          </w:r>
          <w:r w:rsidR="00C630AA" w:rsidRPr="00032578">
            <w:rPr>
              <w:rFonts w:ascii="Impact" w:hAnsi="Impact"/>
              <w:b/>
              <w:sz w:val="68"/>
              <w:szCs w:val="68"/>
            </w:rPr>
            <w:t xml:space="preserve"> B</w:t>
          </w:r>
          <w:r w:rsidR="00F36A54">
            <w:rPr>
              <w:rFonts w:ascii="Impact" w:hAnsi="Impact"/>
              <w:b/>
              <w:sz w:val="68"/>
              <w:szCs w:val="68"/>
            </w:rPr>
            <w:t>ulletin</w:t>
          </w:r>
        </w:p>
      </w:tc>
    </w:tr>
    <w:tr w:rsidR="00C630AA" w14:paraId="06D71AA6" w14:textId="77777777" w:rsidTr="00995A96">
      <w:trPr>
        <w:cantSplit/>
        <w:trHeight w:val="144"/>
      </w:trPr>
      <w:tc>
        <w:tcPr>
          <w:tcW w:w="3438" w:type="dxa"/>
          <w:vMerge/>
        </w:tcPr>
        <w:p w14:paraId="0414C1EF" w14:textId="77777777" w:rsidR="00C630AA" w:rsidRDefault="00C630AA" w:rsidP="00F71829"/>
      </w:tc>
      <w:tc>
        <w:tcPr>
          <w:tcW w:w="6858" w:type="dxa"/>
          <w:gridSpan w:val="2"/>
        </w:tcPr>
        <w:p w14:paraId="06D71AA5" w14:textId="749E9DB3" w:rsidR="00C630AA" w:rsidRPr="00995A96" w:rsidRDefault="00C630AA" w:rsidP="00F71829">
          <w:pPr>
            <w:rPr>
              <w:rFonts w:ascii="Trebuchet MS" w:hAnsi="Trebuchet MS"/>
              <w:sz w:val="20"/>
              <w:szCs w:val="20"/>
            </w:rPr>
          </w:pPr>
        </w:p>
      </w:tc>
    </w:tr>
    <w:tr w:rsidR="00C630AA" w:rsidRPr="00AF44E2" w14:paraId="06D71AA9" w14:textId="77777777" w:rsidTr="00995A96">
      <w:trPr>
        <w:cantSplit/>
        <w:trHeight w:val="288"/>
      </w:trPr>
      <w:tc>
        <w:tcPr>
          <w:tcW w:w="3438" w:type="dxa"/>
          <w:vMerge/>
          <w:vAlign w:val="center"/>
        </w:tcPr>
        <w:p w14:paraId="320003DE" w14:textId="77777777" w:rsidR="00C630AA" w:rsidRPr="00AF44E2" w:rsidRDefault="00C630AA" w:rsidP="003957C4">
          <w:pPr>
            <w:rPr>
              <w:rFonts w:ascii="Arial" w:hAnsi="Arial" w:cs="Arial"/>
              <w:b/>
            </w:rPr>
          </w:pPr>
        </w:p>
      </w:tc>
      <w:tc>
        <w:tcPr>
          <w:tcW w:w="2160" w:type="dxa"/>
          <w:vAlign w:val="center"/>
        </w:tcPr>
        <w:p w14:paraId="06D71AA7" w14:textId="5D4B6F77" w:rsidR="00C630AA" w:rsidRPr="00AF44E2" w:rsidRDefault="00C630AA" w:rsidP="003957C4">
          <w:pPr>
            <w:rPr>
              <w:rFonts w:ascii="Arial" w:hAnsi="Arial" w:cs="Arial"/>
              <w:b/>
            </w:rPr>
          </w:pPr>
        </w:p>
      </w:tc>
      <w:tc>
        <w:tcPr>
          <w:tcW w:w="4698" w:type="dxa"/>
          <w:vAlign w:val="center"/>
        </w:tcPr>
        <w:p w14:paraId="06D71AA8" w14:textId="5D45BD1E" w:rsidR="00C630AA" w:rsidRPr="007F096C" w:rsidRDefault="005B58B2" w:rsidP="00A37B3C">
          <w:pPr>
            <w:pStyle w:val="Title"/>
            <w:pBdr>
              <w:right w:val="single" w:sz="4" w:space="4" w:color="auto"/>
            </w:pBdr>
            <w:tabs>
              <w:tab w:val="clear" w:pos="900"/>
              <w:tab w:val="clear" w:pos="3600"/>
              <w:tab w:val="clear" w:pos="4320"/>
              <w:tab w:val="clear" w:pos="6840"/>
              <w:tab w:val="left" w:pos="720"/>
              <w:tab w:val="left" w:pos="1440"/>
            </w:tabs>
            <w:spacing w:line="300" w:lineRule="auto"/>
            <w:jc w:val="left"/>
            <w:rPr>
              <w:b w:val="0"/>
              <w:sz w:val="23"/>
              <w:szCs w:val="23"/>
            </w:rPr>
          </w:pPr>
          <w:r>
            <w:rPr>
              <w:bCs w:val="0"/>
              <w:smallCaps w:val="0"/>
              <w:sz w:val="23"/>
              <w:szCs w:val="23"/>
            </w:rPr>
            <w:t>Subrecipient Monitoring</w:t>
          </w:r>
          <w:r w:rsidR="00596B71">
            <w:rPr>
              <w:bCs w:val="0"/>
              <w:smallCaps w:val="0"/>
              <w:sz w:val="23"/>
              <w:szCs w:val="23"/>
            </w:rPr>
            <w:t xml:space="preserve"> on </w:t>
          </w:r>
          <w:r>
            <w:rPr>
              <w:bCs w:val="0"/>
              <w:smallCaps w:val="0"/>
              <w:sz w:val="23"/>
              <w:szCs w:val="23"/>
            </w:rPr>
            <w:t xml:space="preserve">Federal-Aid </w:t>
          </w:r>
          <w:r w:rsidR="00596B71">
            <w:rPr>
              <w:bCs w:val="0"/>
              <w:smallCaps w:val="0"/>
              <w:sz w:val="23"/>
              <w:szCs w:val="23"/>
            </w:rPr>
            <w:t>Local Agency Infrastructure Projects</w:t>
          </w:r>
        </w:p>
      </w:tc>
    </w:tr>
    <w:tr w:rsidR="00C630AA" w14:paraId="06D71AAC" w14:textId="77777777" w:rsidTr="00995A96">
      <w:trPr>
        <w:cantSplit/>
        <w:trHeight w:val="288"/>
      </w:trPr>
      <w:tc>
        <w:tcPr>
          <w:tcW w:w="3438" w:type="dxa"/>
          <w:vMerge/>
          <w:vAlign w:val="center"/>
        </w:tcPr>
        <w:p w14:paraId="04CDDFB7" w14:textId="77777777" w:rsidR="00C630AA" w:rsidRPr="00AF44E2" w:rsidRDefault="00C630AA" w:rsidP="003957C4">
          <w:pPr>
            <w:rPr>
              <w:rFonts w:ascii="Arial" w:hAnsi="Arial" w:cs="Arial"/>
            </w:rPr>
          </w:pPr>
        </w:p>
      </w:tc>
      <w:tc>
        <w:tcPr>
          <w:tcW w:w="2160" w:type="dxa"/>
          <w:vAlign w:val="center"/>
        </w:tcPr>
        <w:p w14:paraId="06D71AAA" w14:textId="6CB55D6C" w:rsidR="00C630AA" w:rsidRPr="00AF44E2" w:rsidRDefault="00C630AA" w:rsidP="003957C4">
          <w:pPr>
            <w:rPr>
              <w:rFonts w:ascii="Arial" w:hAnsi="Arial" w:cs="Arial"/>
            </w:rPr>
          </w:pPr>
        </w:p>
      </w:tc>
      <w:tc>
        <w:tcPr>
          <w:tcW w:w="4698" w:type="dxa"/>
          <w:vAlign w:val="center"/>
        </w:tcPr>
        <w:p w14:paraId="06D71AAB" w14:textId="6079E00D" w:rsidR="00C630AA" w:rsidRPr="007F096C" w:rsidRDefault="00963358" w:rsidP="00032578">
          <w:pPr>
            <w:rPr>
              <w:rFonts w:ascii="Arial" w:hAnsi="Arial" w:cs="Arial"/>
              <w:sz w:val="23"/>
              <w:szCs w:val="23"/>
            </w:rPr>
          </w:pPr>
          <w:r>
            <w:rPr>
              <w:rFonts w:ascii="Arial" w:hAnsi="Arial" w:cs="Arial"/>
              <w:sz w:val="23"/>
              <w:szCs w:val="23"/>
            </w:rPr>
            <w:t>20</w:t>
          </w:r>
          <w:r w:rsidR="00B922E1">
            <w:rPr>
              <w:rFonts w:ascii="Arial" w:hAnsi="Arial" w:cs="Arial"/>
              <w:sz w:val="23"/>
              <w:szCs w:val="23"/>
            </w:rPr>
            <w:t>2</w:t>
          </w:r>
          <w:r w:rsidR="005B58B2">
            <w:rPr>
              <w:rFonts w:ascii="Arial" w:hAnsi="Arial" w:cs="Arial"/>
              <w:sz w:val="23"/>
              <w:szCs w:val="23"/>
            </w:rPr>
            <w:t>3</w:t>
          </w:r>
          <w:r w:rsidR="00C630AA" w:rsidRPr="007F096C">
            <w:rPr>
              <w:rFonts w:ascii="Arial" w:hAnsi="Arial" w:cs="Arial"/>
              <w:sz w:val="23"/>
              <w:szCs w:val="23"/>
            </w:rPr>
            <w:t xml:space="preserve"> Number </w:t>
          </w:r>
          <w:r w:rsidR="00596B71">
            <w:rPr>
              <w:rFonts w:ascii="Arial" w:hAnsi="Arial" w:cs="Arial"/>
              <w:sz w:val="23"/>
              <w:szCs w:val="23"/>
            </w:rPr>
            <w:t>1</w:t>
          </w:r>
          <w:r w:rsidR="00C630AA" w:rsidRPr="007F096C">
            <w:rPr>
              <w:rFonts w:ascii="Arial" w:hAnsi="Arial" w:cs="Arial"/>
              <w:sz w:val="23"/>
              <w:szCs w:val="23"/>
            </w:rPr>
            <w:t xml:space="preserve">, </w:t>
          </w:r>
          <w:r w:rsidR="00393F29" w:rsidRPr="007F096C">
            <w:rPr>
              <w:rFonts w:ascii="Arial" w:hAnsi="Arial" w:cs="Arial"/>
              <w:sz w:val="23"/>
              <w:szCs w:val="23"/>
            </w:rPr>
            <w:t xml:space="preserve">Page </w:t>
          </w:r>
          <w:r w:rsidR="00393F29" w:rsidRPr="007F096C">
            <w:rPr>
              <w:rFonts w:ascii="Arial" w:hAnsi="Arial" w:cs="Arial"/>
              <w:sz w:val="23"/>
              <w:szCs w:val="23"/>
            </w:rPr>
            <w:fldChar w:fldCharType="begin"/>
          </w:r>
          <w:r w:rsidR="00393F29" w:rsidRPr="007F096C">
            <w:rPr>
              <w:rFonts w:ascii="Arial" w:hAnsi="Arial" w:cs="Arial"/>
              <w:sz w:val="23"/>
              <w:szCs w:val="23"/>
            </w:rPr>
            <w:instrText xml:space="preserve"> PAGE  \* Arabic  \* MERGEFORMAT </w:instrText>
          </w:r>
          <w:r w:rsidR="00393F29" w:rsidRPr="007F096C">
            <w:rPr>
              <w:rFonts w:ascii="Arial" w:hAnsi="Arial" w:cs="Arial"/>
              <w:sz w:val="23"/>
              <w:szCs w:val="23"/>
            </w:rPr>
            <w:fldChar w:fldCharType="separate"/>
          </w:r>
          <w:r w:rsidR="00421AB7">
            <w:rPr>
              <w:rFonts w:ascii="Arial" w:hAnsi="Arial" w:cs="Arial"/>
              <w:noProof/>
              <w:sz w:val="23"/>
              <w:szCs w:val="23"/>
            </w:rPr>
            <w:t>1</w:t>
          </w:r>
          <w:r w:rsidR="00393F29" w:rsidRPr="007F096C">
            <w:rPr>
              <w:rFonts w:ascii="Arial" w:hAnsi="Arial" w:cs="Arial"/>
              <w:sz w:val="23"/>
              <w:szCs w:val="23"/>
            </w:rPr>
            <w:fldChar w:fldCharType="end"/>
          </w:r>
          <w:r w:rsidR="00393F29" w:rsidRPr="007F096C">
            <w:rPr>
              <w:rFonts w:ascii="Arial" w:hAnsi="Arial" w:cs="Arial"/>
              <w:sz w:val="23"/>
              <w:szCs w:val="23"/>
            </w:rPr>
            <w:t xml:space="preserve"> of </w:t>
          </w:r>
          <w:r w:rsidR="00F36A54">
            <w:rPr>
              <w:rFonts w:ascii="Arial" w:hAnsi="Arial" w:cs="Arial"/>
              <w:sz w:val="23"/>
              <w:szCs w:val="23"/>
            </w:rPr>
            <w:t>4</w:t>
          </w:r>
        </w:p>
      </w:tc>
    </w:tr>
    <w:tr w:rsidR="00C630AA" w14:paraId="06D71AAF" w14:textId="77777777" w:rsidTr="00995A96">
      <w:trPr>
        <w:cantSplit/>
        <w:trHeight w:val="288"/>
      </w:trPr>
      <w:tc>
        <w:tcPr>
          <w:tcW w:w="3438" w:type="dxa"/>
          <w:vMerge/>
          <w:vAlign w:val="center"/>
        </w:tcPr>
        <w:p w14:paraId="6FA1DB1E" w14:textId="77777777" w:rsidR="00C630AA" w:rsidRDefault="00C630AA" w:rsidP="003957C4"/>
      </w:tc>
      <w:tc>
        <w:tcPr>
          <w:tcW w:w="2160" w:type="dxa"/>
          <w:vAlign w:val="center"/>
        </w:tcPr>
        <w:p w14:paraId="06D71AAD" w14:textId="116BCCF0" w:rsidR="00C630AA" w:rsidRDefault="00C630AA" w:rsidP="003957C4"/>
      </w:tc>
      <w:tc>
        <w:tcPr>
          <w:tcW w:w="4698" w:type="dxa"/>
          <w:vAlign w:val="center"/>
        </w:tcPr>
        <w:p w14:paraId="06D71AAE" w14:textId="4E34BF3E" w:rsidR="00C630AA" w:rsidRPr="007F096C" w:rsidRDefault="00C630AA" w:rsidP="00375CFC">
          <w:pPr>
            <w:rPr>
              <w:rFonts w:ascii="Arial" w:hAnsi="Arial" w:cs="Arial"/>
            </w:rPr>
          </w:pPr>
          <w:r w:rsidRPr="007F096C">
            <w:rPr>
              <w:rFonts w:ascii="Arial" w:hAnsi="Arial" w:cs="Arial"/>
              <w:sz w:val="23"/>
              <w:szCs w:val="23"/>
            </w:rPr>
            <w:t xml:space="preserve">Date: </w:t>
          </w:r>
          <w:r w:rsidR="004342BA">
            <w:rPr>
              <w:rFonts w:ascii="Arial" w:hAnsi="Arial" w:cs="Arial"/>
              <w:sz w:val="23"/>
              <w:szCs w:val="23"/>
            </w:rPr>
            <w:t xml:space="preserve">December </w:t>
          </w:r>
          <w:r w:rsidR="00375CFC">
            <w:rPr>
              <w:rFonts w:ascii="Arial" w:hAnsi="Arial" w:cs="Arial"/>
              <w:sz w:val="23"/>
              <w:szCs w:val="23"/>
            </w:rPr>
            <w:t>4</w:t>
          </w:r>
          <w:r w:rsidR="004342BA">
            <w:rPr>
              <w:rFonts w:ascii="Arial" w:hAnsi="Arial" w:cs="Arial"/>
              <w:sz w:val="23"/>
              <w:szCs w:val="23"/>
            </w:rPr>
            <w:t>, 2023</w:t>
          </w:r>
        </w:p>
      </w:tc>
    </w:tr>
    <w:tr w:rsidR="00032578" w14:paraId="472B5154" w14:textId="77777777" w:rsidTr="00995A96">
      <w:trPr>
        <w:cantSplit/>
        <w:trHeight w:val="288"/>
      </w:trPr>
      <w:tc>
        <w:tcPr>
          <w:tcW w:w="3438" w:type="dxa"/>
          <w:vAlign w:val="center"/>
        </w:tcPr>
        <w:p w14:paraId="72FA8604" w14:textId="77777777" w:rsidR="00032578" w:rsidRDefault="00032578" w:rsidP="003957C4"/>
      </w:tc>
      <w:tc>
        <w:tcPr>
          <w:tcW w:w="2160" w:type="dxa"/>
          <w:vAlign w:val="center"/>
        </w:tcPr>
        <w:p w14:paraId="0FF43095" w14:textId="77777777" w:rsidR="00032578" w:rsidRDefault="00032578" w:rsidP="003957C4"/>
      </w:tc>
      <w:tc>
        <w:tcPr>
          <w:tcW w:w="4698" w:type="dxa"/>
          <w:vAlign w:val="center"/>
        </w:tcPr>
        <w:p w14:paraId="25F8719D" w14:textId="77777777" w:rsidR="00032578" w:rsidRPr="00324470" w:rsidRDefault="00032578" w:rsidP="009F024C">
          <w:pPr>
            <w:rPr>
              <w:rFonts w:ascii="Trebuchet MS" w:hAnsi="Trebuchet MS" w:cs="Arial"/>
              <w:sz w:val="23"/>
              <w:szCs w:val="23"/>
            </w:rPr>
          </w:pPr>
        </w:p>
      </w:tc>
    </w:tr>
  </w:tbl>
  <w:p w14:paraId="06D71AB0" w14:textId="34AB1AA4" w:rsidR="00F71829" w:rsidRPr="00F71829" w:rsidRDefault="00F71829" w:rsidP="00F7182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3F2F"/>
    <w:multiLevelType w:val="hybridMultilevel"/>
    <w:tmpl w:val="412E0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42C3F"/>
    <w:multiLevelType w:val="hybridMultilevel"/>
    <w:tmpl w:val="3072E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6B0185"/>
    <w:multiLevelType w:val="hybridMultilevel"/>
    <w:tmpl w:val="13EA4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F3BC8"/>
    <w:multiLevelType w:val="hybridMultilevel"/>
    <w:tmpl w:val="E5522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E06718"/>
    <w:multiLevelType w:val="hybridMultilevel"/>
    <w:tmpl w:val="F2069862"/>
    <w:lvl w:ilvl="0" w:tplc="6A0A88DC">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A471E5"/>
    <w:multiLevelType w:val="hybridMultilevel"/>
    <w:tmpl w:val="5448E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BF18B1"/>
    <w:multiLevelType w:val="hybridMultilevel"/>
    <w:tmpl w:val="EF367E58"/>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953DDB"/>
    <w:multiLevelType w:val="hybridMultilevel"/>
    <w:tmpl w:val="50CE5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4414AE"/>
    <w:multiLevelType w:val="hybridMultilevel"/>
    <w:tmpl w:val="83306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605D19"/>
    <w:multiLevelType w:val="hybridMultilevel"/>
    <w:tmpl w:val="ABCC3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0631D6"/>
    <w:multiLevelType w:val="hybridMultilevel"/>
    <w:tmpl w:val="E1981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7F1A5C"/>
    <w:multiLevelType w:val="hybridMultilevel"/>
    <w:tmpl w:val="E9A05194"/>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7C5B05E8"/>
    <w:multiLevelType w:val="hybridMultilevel"/>
    <w:tmpl w:val="A3DCB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8"/>
  </w:num>
  <w:num w:numId="5">
    <w:abstractNumId w:val="9"/>
  </w:num>
  <w:num w:numId="6">
    <w:abstractNumId w:val="10"/>
  </w:num>
  <w:num w:numId="7">
    <w:abstractNumId w:val="11"/>
  </w:num>
  <w:num w:numId="8">
    <w:abstractNumId w:val="2"/>
  </w:num>
  <w:num w:numId="9">
    <w:abstractNumId w:val="12"/>
  </w:num>
  <w:num w:numId="10">
    <w:abstractNumId w:val="0"/>
  </w:num>
  <w:num w:numId="11">
    <w:abstractNumId w:val="6"/>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A5D"/>
    <w:rsid w:val="000007A0"/>
    <w:rsid w:val="00002395"/>
    <w:rsid w:val="00002B73"/>
    <w:rsid w:val="000042DD"/>
    <w:rsid w:val="000051A1"/>
    <w:rsid w:val="00011C8F"/>
    <w:rsid w:val="0001291B"/>
    <w:rsid w:val="00016027"/>
    <w:rsid w:val="00031BB1"/>
    <w:rsid w:val="00032578"/>
    <w:rsid w:val="0003621A"/>
    <w:rsid w:val="000447B4"/>
    <w:rsid w:val="00055136"/>
    <w:rsid w:val="000614D9"/>
    <w:rsid w:val="00061C4F"/>
    <w:rsid w:val="00064E36"/>
    <w:rsid w:val="0006501A"/>
    <w:rsid w:val="000746B4"/>
    <w:rsid w:val="00075196"/>
    <w:rsid w:val="0007620D"/>
    <w:rsid w:val="00080AAC"/>
    <w:rsid w:val="0008104F"/>
    <w:rsid w:val="00084133"/>
    <w:rsid w:val="0008635A"/>
    <w:rsid w:val="0008739F"/>
    <w:rsid w:val="0009000F"/>
    <w:rsid w:val="000920D0"/>
    <w:rsid w:val="00093333"/>
    <w:rsid w:val="00094983"/>
    <w:rsid w:val="000A1328"/>
    <w:rsid w:val="000A372B"/>
    <w:rsid w:val="000A5F32"/>
    <w:rsid w:val="000B06E0"/>
    <w:rsid w:val="000B4549"/>
    <w:rsid w:val="000C24D8"/>
    <w:rsid w:val="000C2FE4"/>
    <w:rsid w:val="000C497F"/>
    <w:rsid w:val="000C64EA"/>
    <w:rsid w:val="000D56F6"/>
    <w:rsid w:val="000D772F"/>
    <w:rsid w:val="000E231D"/>
    <w:rsid w:val="000F6EFA"/>
    <w:rsid w:val="001012F0"/>
    <w:rsid w:val="00101518"/>
    <w:rsid w:val="001035C7"/>
    <w:rsid w:val="001159F5"/>
    <w:rsid w:val="001163AB"/>
    <w:rsid w:val="001207CD"/>
    <w:rsid w:val="00121248"/>
    <w:rsid w:val="00121AF0"/>
    <w:rsid w:val="0012556C"/>
    <w:rsid w:val="00126B53"/>
    <w:rsid w:val="001277DE"/>
    <w:rsid w:val="001353B1"/>
    <w:rsid w:val="00135896"/>
    <w:rsid w:val="00136777"/>
    <w:rsid w:val="0014137C"/>
    <w:rsid w:val="00145FD5"/>
    <w:rsid w:val="0015143C"/>
    <w:rsid w:val="00152FF0"/>
    <w:rsid w:val="0015617F"/>
    <w:rsid w:val="001626BD"/>
    <w:rsid w:val="00165720"/>
    <w:rsid w:val="00172157"/>
    <w:rsid w:val="0018106C"/>
    <w:rsid w:val="001827E1"/>
    <w:rsid w:val="0018369D"/>
    <w:rsid w:val="001900E5"/>
    <w:rsid w:val="001917B9"/>
    <w:rsid w:val="00195856"/>
    <w:rsid w:val="001A0F3C"/>
    <w:rsid w:val="001A272A"/>
    <w:rsid w:val="001A29E6"/>
    <w:rsid w:val="001A3F7B"/>
    <w:rsid w:val="001A4E21"/>
    <w:rsid w:val="001A71D6"/>
    <w:rsid w:val="001B302F"/>
    <w:rsid w:val="001B36B2"/>
    <w:rsid w:val="001B3F22"/>
    <w:rsid w:val="001C4610"/>
    <w:rsid w:val="001C772F"/>
    <w:rsid w:val="001D5CF1"/>
    <w:rsid w:val="001D758E"/>
    <w:rsid w:val="001E171D"/>
    <w:rsid w:val="001E2F20"/>
    <w:rsid w:val="001E36D0"/>
    <w:rsid w:val="001E62A8"/>
    <w:rsid w:val="001E67D6"/>
    <w:rsid w:val="001F0BF9"/>
    <w:rsid w:val="001F343D"/>
    <w:rsid w:val="002036D2"/>
    <w:rsid w:val="0020393E"/>
    <w:rsid w:val="002117EA"/>
    <w:rsid w:val="0021398B"/>
    <w:rsid w:val="00216CFF"/>
    <w:rsid w:val="00216F01"/>
    <w:rsid w:val="00224C74"/>
    <w:rsid w:val="00226958"/>
    <w:rsid w:val="0022718D"/>
    <w:rsid w:val="00227D60"/>
    <w:rsid w:val="002301CA"/>
    <w:rsid w:val="00232F8C"/>
    <w:rsid w:val="00235340"/>
    <w:rsid w:val="00237068"/>
    <w:rsid w:val="0023781A"/>
    <w:rsid w:val="00241BA1"/>
    <w:rsid w:val="00242444"/>
    <w:rsid w:val="00243528"/>
    <w:rsid w:val="002447BB"/>
    <w:rsid w:val="0025094F"/>
    <w:rsid w:val="00250962"/>
    <w:rsid w:val="002518D8"/>
    <w:rsid w:val="00253022"/>
    <w:rsid w:val="00255AA3"/>
    <w:rsid w:val="002572CC"/>
    <w:rsid w:val="002606EB"/>
    <w:rsid w:val="00265F51"/>
    <w:rsid w:val="0028291F"/>
    <w:rsid w:val="002924AE"/>
    <w:rsid w:val="002A059C"/>
    <w:rsid w:val="002B0D6A"/>
    <w:rsid w:val="002B2EC9"/>
    <w:rsid w:val="002B4AE6"/>
    <w:rsid w:val="002B5367"/>
    <w:rsid w:val="002C28D0"/>
    <w:rsid w:val="002C4BDA"/>
    <w:rsid w:val="002C4F91"/>
    <w:rsid w:val="002C637C"/>
    <w:rsid w:val="002C6970"/>
    <w:rsid w:val="002D408A"/>
    <w:rsid w:val="002D6DBD"/>
    <w:rsid w:val="002E05C0"/>
    <w:rsid w:val="002E6CA0"/>
    <w:rsid w:val="002F31D4"/>
    <w:rsid w:val="002F4521"/>
    <w:rsid w:val="002F7F88"/>
    <w:rsid w:val="0031017C"/>
    <w:rsid w:val="003165CD"/>
    <w:rsid w:val="0032039E"/>
    <w:rsid w:val="00324470"/>
    <w:rsid w:val="0032533B"/>
    <w:rsid w:val="003254E6"/>
    <w:rsid w:val="00325B93"/>
    <w:rsid w:val="00332CEC"/>
    <w:rsid w:val="003360E9"/>
    <w:rsid w:val="00336367"/>
    <w:rsid w:val="00337012"/>
    <w:rsid w:val="00340EF4"/>
    <w:rsid w:val="00342892"/>
    <w:rsid w:val="00343F86"/>
    <w:rsid w:val="00350552"/>
    <w:rsid w:val="00352134"/>
    <w:rsid w:val="003541C5"/>
    <w:rsid w:val="00354A5D"/>
    <w:rsid w:val="00355284"/>
    <w:rsid w:val="0036129F"/>
    <w:rsid w:val="003638AD"/>
    <w:rsid w:val="0036753A"/>
    <w:rsid w:val="00370726"/>
    <w:rsid w:val="00370784"/>
    <w:rsid w:val="00375CFC"/>
    <w:rsid w:val="00377EB1"/>
    <w:rsid w:val="00380C52"/>
    <w:rsid w:val="0038289B"/>
    <w:rsid w:val="0038336E"/>
    <w:rsid w:val="00385CF7"/>
    <w:rsid w:val="003866FD"/>
    <w:rsid w:val="00387451"/>
    <w:rsid w:val="00387F29"/>
    <w:rsid w:val="00392F49"/>
    <w:rsid w:val="00393F29"/>
    <w:rsid w:val="003957C4"/>
    <w:rsid w:val="00397B26"/>
    <w:rsid w:val="003A0754"/>
    <w:rsid w:val="003A08B6"/>
    <w:rsid w:val="003A2C9D"/>
    <w:rsid w:val="003B3A34"/>
    <w:rsid w:val="003B4369"/>
    <w:rsid w:val="003B62E7"/>
    <w:rsid w:val="003D07FC"/>
    <w:rsid w:val="003D17E4"/>
    <w:rsid w:val="003D6580"/>
    <w:rsid w:val="003D7AF9"/>
    <w:rsid w:val="003E0FA4"/>
    <w:rsid w:val="003E133C"/>
    <w:rsid w:val="003E37A0"/>
    <w:rsid w:val="003F0D2D"/>
    <w:rsid w:val="003F33AB"/>
    <w:rsid w:val="004020D6"/>
    <w:rsid w:val="00410480"/>
    <w:rsid w:val="00411CF7"/>
    <w:rsid w:val="00412D80"/>
    <w:rsid w:val="00415ACD"/>
    <w:rsid w:val="004173A8"/>
    <w:rsid w:val="004178B2"/>
    <w:rsid w:val="00420A9E"/>
    <w:rsid w:val="00421AB7"/>
    <w:rsid w:val="00421C6E"/>
    <w:rsid w:val="00423311"/>
    <w:rsid w:val="00424EC4"/>
    <w:rsid w:val="00425125"/>
    <w:rsid w:val="004306A7"/>
    <w:rsid w:val="004320DF"/>
    <w:rsid w:val="00433576"/>
    <w:rsid w:val="004342BA"/>
    <w:rsid w:val="00435FE8"/>
    <w:rsid w:val="00436C50"/>
    <w:rsid w:val="00441634"/>
    <w:rsid w:val="00442082"/>
    <w:rsid w:val="00442A11"/>
    <w:rsid w:val="004453D8"/>
    <w:rsid w:val="00446186"/>
    <w:rsid w:val="00447BB4"/>
    <w:rsid w:val="00452E58"/>
    <w:rsid w:val="00453B9A"/>
    <w:rsid w:val="00456403"/>
    <w:rsid w:val="00463CD5"/>
    <w:rsid w:val="00480349"/>
    <w:rsid w:val="004904DC"/>
    <w:rsid w:val="00491EE0"/>
    <w:rsid w:val="004932FA"/>
    <w:rsid w:val="004933A1"/>
    <w:rsid w:val="004A341F"/>
    <w:rsid w:val="004B4244"/>
    <w:rsid w:val="004C1727"/>
    <w:rsid w:val="004C321C"/>
    <w:rsid w:val="004C33B8"/>
    <w:rsid w:val="004D18D0"/>
    <w:rsid w:val="004D3DC4"/>
    <w:rsid w:val="004D76AD"/>
    <w:rsid w:val="004E0172"/>
    <w:rsid w:val="004E38A4"/>
    <w:rsid w:val="004F524E"/>
    <w:rsid w:val="004F6717"/>
    <w:rsid w:val="00500A58"/>
    <w:rsid w:val="0050106E"/>
    <w:rsid w:val="00501670"/>
    <w:rsid w:val="00501A75"/>
    <w:rsid w:val="005050BE"/>
    <w:rsid w:val="00505527"/>
    <w:rsid w:val="005171A8"/>
    <w:rsid w:val="0052043E"/>
    <w:rsid w:val="0054092E"/>
    <w:rsid w:val="00545093"/>
    <w:rsid w:val="005510A6"/>
    <w:rsid w:val="0055232A"/>
    <w:rsid w:val="005617DC"/>
    <w:rsid w:val="00562007"/>
    <w:rsid w:val="00563A59"/>
    <w:rsid w:val="005648BD"/>
    <w:rsid w:val="005747C6"/>
    <w:rsid w:val="00576246"/>
    <w:rsid w:val="00583EB3"/>
    <w:rsid w:val="00586A87"/>
    <w:rsid w:val="005872F2"/>
    <w:rsid w:val="00590686"/>
    <w:rsid w:val="005968BC"/>
    <w:rsid w:val="00596A3A"/>
    <w:rsid w:val="00596B71"/>
    <w:rsid w:val="005A1E2D"/>
    <w:rsid w:val="005A4278"/>
    <w:rsid w:val="005A6664"/>
    <w:rsid w:val="005A7BA7"/>
    <w:rsid w:val="005B1E75"/>
    <w:rsid w:val="005B227F"/>
    <w:rsid w:val="005B4A9D"/>
    <w:rsid w:val="005B58B2"/>
    <w:rsid w:val="005B5A86"/>
    <w:rsid w:val="005B6EE3"/>
    <w:rsid w:val="005C174F"/>
    <w:rsid w:val="005C4CE5"/>
    <w:rsid w:val="005C61F7"/>
    <w:rsid w:val="005D0B69"/>
    <w:rsid w:val="005D0E2A"/>
    <w:rsid w:val="005D373E"/>
    <w:rsid w:val="005D392D"/>
    <w:rsid w:val="005D6050"/>
    <w:rsid w:val="005E3B1F"/>
    <w:rsid w:val="005E43F6"/>
    <w:rsid w:val="005E5D1D"/>
    <w:rsid w:val="005E5DCE"/>
    <w:rsid w:val="005F1272"/>
    <w:rsid w:val="006003A6"/>
    <w:rsid w:val="0060251D"/>
    <w:rsid w:val="00603C35"/>
    <w:rsid w:val="00604687"/>
    <w:rsid w:val="0060731D"/>
    <w:rsid w:val="00615C58"/>
    <w:rsid w:val="00623465"/>
    <w:rsid w:val="00627F4C"/>
    <w:rsid w:val="0063095D"/>
    <w:rsid w:val="00634019"/>
    <w:rsid w:val="006369D1"/>
    <w:rsid w:val="00641B21"/>
    <w:rsid w:val="00644BB7"/>
    <w:rsid w:val="00651458"/>
    <w:rsid w:val="00652DCF"/>
    <w:rsid w:val="00657318"/>
    <w:rsid w:val="0066147E"/>
    <w:rsid w:val="00664911"/>
    <w:rsid w:val="006665E9"/>
    <w:rsid w:val="00670B03"/>
    <w:rsid w:val="006738C8"/>
    <w:rsid w:val="00680D51"/>
    <w:rsid w:val="0068679B"/>
    <w:rsid w:val="00691A2E"/>
    <w:rsid w:val="006935E2"/>
    <w:rsid w:val="00695577"/>
    <w:rsid w:val="006A06A7"/>
    <w:rsid w:val="006A0C8C"/>
    <w:rsid w:val="006A3813"/>
    <w:rsid w:val="006A4CBF"/>
    <w:rsid w:val="006C0CE9"/>
    <w:rsid w:val="006C10E3"/>
    <w:rsid w:val="006C20C0"/>
    <w:rsid w:val="006C5149"/>
    <w:rsid w:val="006D6931"/>
    <w:rsid w:val="006E6942"/>
    <w:rsid w:val="006F0FDE"/>
    <w:rsid w:val="006F2233"/>
    <w:rsid w:val="006F3480"/>
    <w:rsid w:val="00700228"/>
    <w:rsid w:val="0070153C"/>
    <w:rsid w:val="00702EDE"/>
    <w:rsid w:val="007040B3"/>
    <w:rsid w:val="00711BFB"/>
    <w:rsid w:val="00713275"/>
    <w:rsid w:val="007214FD"/>
    <w:rsid w:val="007215A2"/>
    <w:rsid w:val="00722C8D"/>
    <w:rsid w:val="00724A65"/>
    <w:rsid w:val="00725EB7"/>
    <w:rsid w:val="00742279"/>
    <w:rsid w:val="00746E6C"/>
    <w:rsid w:val="00747C52"/>
    <w:rsid w:val="007541E3"/>
    <w:rsid w:val="00757DFF"/>
    <w:rsid w:val="00761F1D"/>
    <w:rsid w:val="00762E79"/>
    <w:rsid w:val="007630B6"/>
    <w:rsid w:val="00765218"/>
    <w:rsid w:val="0077437B"/>
    <w:rsid w:val="00774F2C"/>
    <w:rsid w:val="00775DA8"/>
    <w:rsid w:val="00775E5B"/>
    <w:rsid w:val="00777894"/>
    <w:rsid w:val="00780129"/>
    <w:rsid w:val="00781AAD"/>
    <w:rsid w:val="00781AEF"/>
    <w:rsid w:val="0078336D"/>
    <w:rsid w:val="007852A6"/>
    <w:rsid w:val="007853DE"/>
    <w:rsid w:val="00791854"/>
    <w:rsid w:val="00794159"/>
    <w:rsid w:val="007942E6"/>
    <w:rsid w:val="00797061"/>
    <w:rsid w:val="00797EFA"/>
    <w:rsid w:val="007A1ACF"/>
    <w:rsid w:val="007B3292"/>
    <w:rsid w:val="007B460B"/>
    <w:rsid w:val="007B5BCE"/>
    <w:rsid w:val="007B7D0A"/>
    <w:rsid w:val="007C0D56"/>
    <w:rsid w:val="007D71C6"/>
    <w:rsid w:val="007D7455"/>
    <w:rsid w:val="007E02C9"/>
    <w:rsid w:val="007E63D0"/>
    <w:rsid w:val="007E734B"/>
    <w:rsid w:val="007F07E8"/>
    <w:rsid w:val="007F096C"/>
    <w:rsid w:val="007F1E51"/>
    <w:rsid w:val="007F5639"/>
    <w:rsid w:val="00801AE8"/>
    <w:rsid w:val="00802A9C"/>
    <w:rsid w:val="00803DCC"/>
    <w:rsid w:val="008100A8"/>
    <w:rsid w:val="00812390"/>
    <w:rsid w:val="00813543"/>
    <w:rsid w:val="00816ED2"/>
    <w:rsid w:val="00817DD1"/>
    <w:rsid w:val="00825C9B"/>
    <w:rsid w:val="0082720F"/>
    <w:rsid w:val="00836A73"/>
    <w:rsid w:val="008378E4"/>
    <w:rsid w:val="0084451B"/>
    <w:rsid w:val="0085399A"/>
    <w:rsid w:val="00853C08"/>
    <w:rsid w:val="00862079"/>
    <w:rsid w:val="00866041"/>
    <w:rsid w:val="00870694"/>
    <w:rsid w:val="008706E1"/>
    <w:rsid w:val="008806AC"/>
    <w:rsid w:val="00884AAC"/>
    <w:rsid w:val="00887263"/>
    <w:rsid w:val="008927F5"/>
    <w:rsid w:val="00893A3F"/>
    <w:rsid w:val="00894BC5"/>
    <w:rsid w:val="00894F26"/>
    <w:rsid w:val="008979B9"/>
    <w:rsid w:val="008A0A80"/>
    <w:rsid w:val="008A4871"/>
    <w:rsid w:val="008C02AA"/>
    <w:rsid w:val="008C2DA9"/>
    <w:rsid w:val="008C3302"/>
    <w:rsid w:val="008C4E6C"/>
    <w:rsid w:val="008C55CA"/>
    <w:rsid w:val="008D4CC8"/>
    <w:rsid w:val="008D5ACE"/>
    <w:rsid w:val="008D5FC2"/>
    <w:rsid w:val="008E2D23"/>
    <w:rsid w:val="008E473A"/>
    <w:rsid w:val="008E4C8F"/>
    <w:rsid w:val="008E5C8C"/>
    <w:rsid w:val="008F3E7E"/>
    <w:rsid w:val="008F4C06"/>
    <w:rsid w:val="00902799"/>
    <w:rsid w:val="0090365B"/>
    <w:rsid w:val="00903821"/>
    <w:rsid w:val="00903C6B"/>
    <w:rsid w:val="009128FA"/>
    <w:rsid w:val="00912BB2"/>
    <w:rsid w:val="009156F6"/>
    <w:rsid w:val="00915E2E"/>
    <w:rsid w:val="00917B0D"/>
    <w:rsid w:val="009318C5"/>
    <w:rsid w:val="00932674"/>
    <w:rsid w:val="009334E6"/>
    <w:rsid w:val="00941D73"/>
    <w:rsid w:val="00950996"/>
    <w:rsid w:val="00950B63"/>
    <w:rsid w:val="00956916"/>
    <w:rsid w:val="009578CB"/>
    <w:rsid w:val="00960446"/>
    <w:rsid w:val="0096078C"/>
    <w:rsid w:val="00963358"/>
    <w:rsid w:val="009663D5"/>
    <w:rsid w:val="00966E5B"/>
    <w:rsid w:val="00966E98"/>
    <w:rsid w:val="009814C2"/>
    <w:rsid w:val="00984DEF"/>
    <w:rsid w:val="00990C41"/>
    <w:rsid w:val="00991A0E"/>
    <w:rsid w:val="00992A28"/>
    <w:rsid w:val="00994F0E"/>
    <w:rsid w:val="00995A96"/>
    <w:rsid w:val="009A0015"/>
    <w:rsid w:val="009A066C"/>
    <w:rsid w:val="009A3581"/>
    <w:rsid w:val="009A7481"/>
    <w:rsid w:val="009B2AE8"/>
    <w:rsid w:val="009B607D"/>
    <w:rsid w:val="009C311A"/>
    <w:rsid w:val="009C554F"/>
    <w:rsid w:val="009D0DDE"/>
    <w:rsid w:val="009E0F58"/>
    <w:rsid w:val="009E341A"/>
    <w:rsid w:val="009E6686"/>
    <w:rsid w:val="009E7082"/>
    <w:rsid w:val="009F0040"/>
    <w:rsid w:val="009F024C"/>
    <w:rsid w:val="009F247D"/>
    <w:rsid w:val="009F2E3F"/>
    <w:rsid w:val="009F6A23"/>
    <w:rsid w:val="00A02669"/>
    <w:rsid w:val="00A14A25"/>
    <w:rsid w:val="00A2247D"/>
    <w:rsid w:val="00A3379D"/>
    <w:rsid w:val="00A34D0E"/>
    <w:rsid w:val="00A3518D"/>
    <w:rsid w:val="00A37B3C"/>
    <w:rsid w:val="00A43AD0"/>
    <w:rsid w:val="00A45F3C"/>
    <w:rsid w:val="00A464AA"/>
    <w:rsid w:val="00A47344"/>
    <w:rsid w:val="00A50D86"/>
    <w:rsid w:val="00A5373B"/>
    <w:rsid w:val="00A537E6"/>
    <w:rsid w:val="00A549C2"/>
    <w:rsid w:val="00A558B7"/>
    <w:rsid w:val="00A60490"/>
    <w:rsid w:val="00A61F2F"/>
    <w:rsid w:val="00A673A1"/>
    <w:rsid w:val="00A711EC"/>
    <w:rsid w:val="00A720EA"/>
    <w:rsid w:val="00A7784E"/>
    <w:rsid w:val="00A80489"/>
    <w:rsid w:val="00A81B47"/>
    <w:rsid w:val="00A871B2"/>
    <w:rsid w:val="00A928AA"/>
    <w:rsid w:val="00A94CB9"/>
    <w:rsid w:val="00A95E8E"/>
    <w:rsid w:val="00AB01F5"/>
    <w:rsid w:val="00AB112B"/>
    <w:rsid w:val="00AB3BA8"/>
    <w:rsid w:val="00AC0B4E"/>
    <w:rsid w:val="00AC3CB4"/>
    <w:rsid w:val="00AC45CC"/>
    <w:rsid w:val="00AD0149"/>
    <w:rsid w:val="00AD169C"/>
    <w:rsid w:val="00AD5170"/>
    <w:rsid w:val="00AD7010"/>
    <w:rsid w:val="00AE16D4"/>
    <w:rsid w:val="00AE3237"/>
    <w:rsid w:val="00AE7419"/>
    <w:rsid w:val="00AF1222"/>
    <w:rsid w:val="00AF44E2"/>
    <w:rsid w:val="00AF7C96"/>
    <w:rsid w:val="00B02047"/>
    <w:rsid w:val="00B11A9D"/>
    <w:rsid w:val="00B21A39"/>
    <w:rsid w:val="00B2554D"/>
    <w:rsid w:val="00B273CD"/>
    <w:rsid w:val="00B3640A"/>
    <w:rsid w:val="00B37C65"/>
    <w:rsid w:val="00B41918"/>
    <w:rsid w:val="00B41D88"/>
    <w:rsid w:val="00B43D29"/>
    <w:rsid w:val="00B4779F"/>
    <w:rsid w:val="00B51D69"/>
    <w:rsid w:val="00B52C85"/>
    <w:rsid w:val="00B57C04"/>
    <w:rsid w:val="00B65E55"/>
    <w:rsid w:val="00B7100E"/>
    <w:rsid w:val="00B72C4C"/>
    <w:rsid w:val="00B76838"/>
    <w:rsid w:val="00B82CDC"/>
    <w:rsid w:val="00B8757D"/>
    <w:rsid w:val="00B90060"/>
    <w:rsid w:val="00B922E1"/>
    <w:rsid w:val="00B93079"/>
    <w:rsid w:val="00B93AA0"/>
    <w:rsid w:val="00B97351"/>
    <w:rsid w:val="00BA1717"/>
    <w:rsid w:val="00BA1ABC"/>
    <w:rsid w:val="00BA2DD4"/>
    <w:rsid w:val="00BA767D"/>
    <w:rsid w:val="00BA7CC6"/>
    <w:rsid w:val="00BB0212"/>
    <w:rsid w:val="00BB4856"/>
    <w:rsid w:val="00BB732D"/>
    <w:rsid w:val="00BB7339"/>
    <w:rsid w:val="00BC44FA"/>
    <w:rsid w:val="00BC5D2B"/>
    <w:rsid w:val="00BC62C8"/>
    <w:rsid w:val="00BC62E7"/>
    <w:rsid w:val="00BD053E"/>
    <w:rsid w:val="00BE4FC3"/>
    <w:rsid w:val="00BE5980"/>
    <w:rsid w:val="00C046BB"/>
    <w:rsid w:val="00C05D91"/>
    <w:rsid w:val="00C07546"/>
    <w:rsid w:val="00C1039F"/>
    <w:rsid w:val="00C10787"/>
    <w:rsid w:val="00C1308F"/>
    <w:rsid w:val="00C140D9"/>
    <w:rsid w:val="00C15F99"/>
    <w:rsid w:val="00C17B2C"/>
    <w:rsid w:val="00C3201E"/>
    <w:rsid w:val="00C36674"/>
    <w:rsid w:val="00C36A93"/>
    <w:rsid w:val="00C36B1A"/>
    <w:rsid w:val="00C4065D"/>
    <w:rsid w:val="00C45D5B"/>
    <w:rsid w:val="00C47F4D"/>
    <w:rsid w:val="00C52DF5"/>
    <w:rsid w:val="00C55FD2"/>
    <w:rsid w:val="00C579A0"/>
    <w:rsid w:val="00C6001C"/>
    <w:rsid w:val="00C61281"/>
    <w:rsid w:val="00C630AA"/>
    <w:rsid w:val="00C64154"/>
    <w:rsid w:val="00C6499B"/>
    <w:rsid w:val="00C64C5B"/>
    <w:rsid w:val="00C658F7"/>
    <w:rsid w:val="00C673DA"/>
    <w:rsid w:val="00C74318"/>
    <w:rsid w:val="00C81DEF"/>
    <w:rsid w:val="00C83B6F"/>
    <w:rsid w:val="00C9179D"/>
    <w:rsid w:val="00C921E5"/>
    <w:rsid w:val="00CA2BD5"/>
    <w:rsid w:val="00CA6E04"/>
    <w:rsid w:val="00CA7AB3"/>
    <w:rsid w:val="00CA7BED"/>
    <w:rsid w:val="00CB1944"/>
    <w:rsid w:val="00CB2376"/>
    <w:rsid w:val="00CB2474"/>
    <w:rsid w:val="00CC19C5"/>
    <w:rsid w:val="00CC1BA6"/>
    <w:rsid w:val="00CC1CDF"/>
    <w:rsid w:val="00CC3AFC"/>
    <w:rsid w:val="00CC3E68"/>
    <w:rsid w:val="00CC6D7F"/>
    <w:rsid w:val="00CC6E49"/>
    <w:rsid w:val="00CC7715"/>
    <w:rsid w:val="00CD25F1"/>
    <w:rsid w:val="00CD45B6"/>
    <w:rsid w:val="00CD5F17"/>
    <w:rsid w:val="00CD6A7B"/>
    <w:rsid w:val="00CE2BFA"/>
    <w:rsid w:val="00CF239F"/>
    <w:rsid w:val="00CF4920"/>
    <w:rsid w:val="00CF5850"/>
    <w:rsid w:val="00D00E3B"/>
    <w:rsid w:val="00D01A9D"/>
    <w:rsid w:val="00D022EA"/>
    <w:rsid w:val="00D02D83"/>
    <w:rsid w:val="00D075BD"/>
    <w:rsid w:val="00D11882"/>
    <w:rsid w:val="00D15151"/>
    <w:rsid w:val="00D15530"/>
    <w:rsid w:val="00D16891"/>
    <w:rsid w:val="00D22466"/>
    <w:rsid w:val="00D246EC"/>
    <w:rsid w:val="00D26538"/>
    <w:rsid w:val="00D308C1"/>
    <w:rsid w:val="00D31C78"/>
    <w:rsid w:val="00D33AC1"/>
    <w:rsid w:val="00D37E22"/>
    <w:rsid w:val="00D40738"/>
    <w:rsid w:val="00D4320B"/>
    <w:rsid w:val="00D4468A"/>
    <w:rsid w:val="00D45182"/>
    <w:rsid w:val="00D53B88"/>
    <w:rsid w:val="00D56165"/>
    <w:rsid w:val="00D67ACD"/>
    <w:rsid w:val="00D709FE"/>
    <w:rsid w:val="00D83B24"/>
    <w:rsid w:val="00D90A35"/>
    <w:rsid w:val="00D91732"/>
    <w:rsid w:val="00D95B86"/>
    <w:rsid w:val="00D960BC"/>
    <w:rsid w:val="00DB0A6A"/>
    <w:rsid w:val="00DC22ED"/>
    <w:rsid w:val="00DC5F13"/>
    <w:rsid w:val="00DD036E"/>
    <w:rsid w:val="00DD444C"/>
    <w:rsid w:val="00DD5108"/>
    <w:rsid w:val="00DD7CD9"/>
    <w:rsid w:val="00DE05FE"/>
    <w:rsid w:val="00DE5656"/>
    <w:rsid w:val="00DE7911"/>
    <w:rsid w:val="00DF0984"/>
    <w:rsid w:val="00DF3BBD"/>
    <w:rsid w:val="00DF5DE7"/>
    <w:rsid w:val="00E02B3C"/>
    <w:rsid w:val="00E0640A"/>
    <w:rsid w:val="00E118E2"/>
    <w:rsid w:val="00E1427E"/>
    <w:rsid w:val="00E15879"/>
    <w:rsid w:val="00E16793"/>
    <w:rsid w:val="00E21E8E"/>
    <w:rsid w:val="00E2567A"/>
    <w:rsid w:val="00E2598F"/>
    <w:rsid w:val="00E30075"/>
    <w:rsid w:val="00E3026C"/>
    <w:rsid w:val="00E4671E"/>
    <w:rsid w:val="00E46A41"/>
    <w:rsid w:val="00E47BB3"/>
    <w:rsid w:val="00E50B7B"/>
    <w:rsid w:val="00E52C22"/>
    <w:rsid w:val="00E536F3"/>
    <w:rsid w:val="00E540AE"/>
    <w:rsid w:val="00E550F7"/>
    <w:rsid w:val="00E62B9D"/>
    <w:rsid w:val="00E6350C"/>
    <w:rsid w:val="00E649DE"/>
    <w:rsid w:val="00E66D9F"/>
    <w:rsid w:val="00E814A3"/>
    <w:rsid w:val="00E83080"/>
    <w:rsid w:val="00E85AB8"/>
    <w:rsid w:val="00EA0BE4"/>
    <w:rsid w:val="00EA3036"/>
    <w:rsid w:val="00EB0B97"/>
    <w:rsid w:val="00EC0FF7"/>
    <w:rsid w:val="00EC4035"/>
    <w:rsid w:val="00EC5249"/>
    <w:rsid w:val="00ED2CB5"/>
    <w:rsid w:val="00ED6682"/>
    <w:rsid w:val="00ED6828"/>
    <w:rsid w:val="00EE0627"/>
    <w:rsid w:val="00EE2421"/>
    <w:rsid w:val="00EE5034"/>
    <w:rsid w:val="00EE5693"/>
    <w:rsid w:val="00EE582A"/>
    <w:rsid w:val="00EF470B"/>
    <w:rsid w:val="00F0309F"/>
    <w:rsid w:val="00F030B4"/>
    <w:rsid w:val="00F05461"/>
    <w:rsid w:val="00F06C47"/>
    <w:rsid w:val="00F07543"/>
    <w:rsid w:val="00F1437D"/>
    <w:rsid w:val="00F223B8"/>
    <w:rsid w:val="00F22FDF"/>
    <w:rsid w:val="00F31CBB"/>
    <w:rsid w:val="00F36A54"/>
    <w:rsid w:val="00F4227C"/>
    <w:rsid w:val="00F4250E"/>
    <w:rsid w:val="00F42816"/>
    <w:rsid w:val="00F46DF4"/>
    <w:rsid w:val="00F52B06"/>
    <w:rsid w:val="00F617C0"/>
    <w:rsid w:val="00F6303D"/>
    <w:rsid w:val="00F6390F"/>
    <w:rsid w:val="00F71829"/>
    <w:rsid w:val="00F7378D"/>
    <w:rsid w:val="00F82BBB"/>
    <w:rsid w:val="00F82D27"/>
    <w:rsid w:val="00F9711D"/>
    <w:rsid w:val="00FA5480"/>
    <w:rsid w:val="00FB02D2"/>
    <w:rsid w:val="00FB3825"/>
    <w:rsid w:val="00FB46F6"/>
    <w:rsid w:val="00FC3378"/>
    <w:rsid w:val="00FC5A87"/>
    <w:rsid w:val="00FC5C8D"/>
    <w:rsid w:val="00FC7D79"/>
    <w:rsid w:val="00FD0AEC"/>
    <w:rsid w:val="00FD1856"/>
    <w:rsid w:val="00FD25EE"/>
    <w:rsid w:val="00FD4630"/>
    <w:rsid w:val="00FD6CE7"/>
    <w:rsid w:val="00FE62C8"/>
    <w:rsid w:val="00FE7CEE"/>
    <w:rsid w:val="00FF1A05"/>
    <w:rsid w:val="00FF5978"/>
    <w:rsid w:val="00FF6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06D71A75"/>
  <w15:docId w15:val="{7B9B904E-2060-4085-BB45-3EB6B8A4C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A5D"/>
    <w:rPr>
      <w:sz w:val="24"/>
      <w:szCs w:val="24"/>
    </w:rPr>
  </w:style>
  <w:style w:type="paragraph" w:styleId="Heading1">
    <w:name w:val="heading 1"/>
    <w:basedOn w:val="Normal"/>
    <w:next w:val="Normal"/>
    <w:qFormat/>
    <w:rsid w:val="00354A5D"/>
    <w:pPr>
      <w:keepNext/>
      <w:spacing w:before="240" w:after="60"/>
      <w:outlineLvl w:val="0"/>
    </w:pPr>
    <w:rPr>
      <w:rFonts w:ascii="Arial" w:hAnsi="Arial"/>
      <w:b/>
      <w:kern w:val="28"/>
      <w:sz w:val="28"/>
      <w:szCs w:val="20"/>
    </w:rPr>
  </w:style>
  <w:style w:type="paragraph" w:styleId="Heading2">
    <w:name w:val="heading 2"/>
    <w:basedOn w:val="Normal"/>
    <w:next w:val="Normal"/>
    <w:link w:val="Heading2Char"/>
    <w:rsid w:val="00436C5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354A5D"/>
    <w:pPr>
      <w:keepNext/>
      <w:tabs>
        <w:tab w:val="right" w:pos="8640"/>
      </w:tabs>
      <w:jc w:val="center"/>
      <w:outlineLvl w:val="2"/>
    </w:pPr>
    <w:rPr>
      <w:rFonts w:ascii="Arial" w:hAnsi="Arial"/>
      <w:b/>
      <w:sz w:val="32"/>
      <w:szCs w:val="20"/>
    </w:rPr>
  </w:style>
  <w:style w:type="paragraph" w:styleId="Heading4">
    <w:name w:val="heading 4"/>
    <w:basedOn w:val="Normal"/>
    <w:next w:val="Normal"/>
    <w:qFormat/>
    <w:rsid w:val="00354A5D"/>
    <w:pPr>
      <w:keepNext/>
      <w:tabs>
        <w:tab w:val="right" w:pos="9540"/>
      </w:tabs>
      <w:ind w:left="-360"/>
      <w:outlineLvl w:val="3"/>
    </w:pPr>
    <w:rPr>
      <w:rFonts w:ascii="Arial" w:hAnsi="Arial"/>
      <w:szCs w:val="20"/>
    </w:rPr>
  </w:style>
  <w:style w:type="paragraph" w:styleId="Heading8">
    <w:name w:val="heading 8"/>
    <w:basedOn w:val="Normal"/>
    <w:next w:val="Normal"/>
    <w:qFormat/>
    <w:rsid w:val="00354A5D"/>
    <w:pPr>
      <w:keepNext/>
      <w:tabs>
        <w:tab w:val="left" w:pos="6390"/>
        <w:tab w:val="right" w:pos="9360"/>
      </w:tabs>
      <w:ind w:left="-180" w:right="-720"/>
      <w:outlineLvl w:val="7"/>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4A5D"/>
    <w:pPr>
      <w:tabs>
        <w:tab w:val="center" w:pos="4320"/>
        <w:tab w:val="right" w:pos="8640"/>
      </w:tabs>
    </w:pPr>
  </w:style>
  <w:style w:type="paragraph" w:styleId="Footer">
    <w:name w:val="footer"/>
    <w:basedOn w:val="Normal"/>
    <w:rsid w:val="00354A5D"/>
    <w:pPr>
      <w:tabs>
        <w:tab w:val="center" w:pos="4320"/>
        <w:tab w:val="right" w:pos="8640"/>
      </w:tabs>
    </w:pPr>
  </w:style>
  <w:style w:type="character" w:styleId="PageNumber">
    <w:name w:val="page number"/>
    <w:basedOn w:val="DefaultParagraphFont"/>
    <w:rsid w:val="00354A5D"/>
  </w:style>
  <w:style w:type="paragraph" w:styleId="BalloonText">
    <w:name w:val="Balloon Text"/>
    <w:basedOn w:val="Normal"/>
    <w:semiHidden/>
    <w:rsid w:val="00354A5D"/>
    <w:rPr>
      <w:rFonts w:ascii="Tahoma" w:hAnsi="Tahoma" w:cs="Tahoma"/>
      <w:sz w:val="16"/>
      <w:szCs w:val="16"/>
    </w:rPr>
  </w:style>
  <w:style w:type="character" w:styleId="Hyperlink">
    <w:name w:val="Hyperlink"/>
    <w:rsid w:val="00354A5D"/>
    <w:rPr>
      <w:color w:val="0000FF"/>
      <w:u w:val="single"/>
    </w:rPr>
  </w:style>
  <w:style w:type="table" w:styleId="TableGrid">
    <w:name w:val="Table Grid"/>
    <w:basedOn w:val="TableNormal"/>
    <w:rsid w:val="00F718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rsid w:val="00C1039F"/>
    <w:rPr>
      <w:sz w:val="16"/>
      <w:szCs w:val="16"/>
    </w:rPr>
  </w:style>
  <w:style w:type="paragraph" w:styleId="CommentText">
    <w:name w:val="annotation text"/>
    <w:basedOn w:val="Normal"/>
    <w:link w:val="CommentTextChar"/>
    <w:uiPriority w:val="99"/>
    <w:rsid w:val="00C1039F"/>
    <w:rPr>
      <w:sz w:val="20"/>
      <w:szCs w:val="20"/>
    </w:rPr>
  </w:style>
  <w:style w:type="character" w:customStyle="1" w:styleId="CommentTextChar">
    <w:name w:val="Comment Text Char"/>
    <w:basedOn w:val="DefaultParagraphFont"/>
    <w:link w:val="CommentText"/>
    <w:uiPriority w:val="99"/>
    <w:rsid w:val="00C1039F"/>
  </w:style>
  <w:style w:type="paragraph" w:styleId="CommentSubject">
    <w:name w:val="annotation subject"/>
    <w:basedOn w:val="CommentText"/>
    <w:next w:val="CommentText"/>
    <w:link w:val="CommentSubjectChar"/>
    <w:rsid w:val="00AE7419"/>
    <w:rPr>
      <w:b/>
      <w:bCs/>
    </w:rPr>
  </w:style>
  <w:style w:type="character" w:customStyle="1" w:styleId="CommentSubjectChar">
    <w:name w:val="Comment Subject Char"/>
    <w:basedOn w:val="CommentTextChar"/>
    <w:link w:val="CommentSubject"/>
    <w:rsid w:val="00AE7419"/>
    <w:rPr>
      <w:b/>
      <w:bCs/>
    </w:rPr>
  </w:style>
  <w:style w:type="character" w:customStyle="1" w:styleId="returnaddressChar">
    <w:name w:val="return address Char"/>
    <w:basedOn w:val="DefaultParagraphFont"/>
    <w:link w:val="returnaddress"/>
    <w:locked/>
    <w:rsid w:val="00C630AA"/>
    <w:rPr>
      <w:rFonts w:ascii="Trebuchet MS" w:hAnsi="Trebuchet MS"/>
      <w:color w:val="595959" w:themeColor="text1" w:themeTint="A6"/>
      <w:sz w:val="16"/>
    </w:rPr>
  </w:style>
  <w:style w:type="paragraph" w:customStyle="1" w:styleId="returnaddress">
    <w:name w:val="return address"/>
    <w:basedOn w:val="Header"/>
    <w:link w:val="returnaddressChar"/>
    <w:qFormat/>
    <w:rsid w:val="00C630AA"/>
    <w:pPr>
      <w:spacing w:beforeLines="1" w:line="200" w:lineRule="exact"/>
    </w:pPr>
    <w:rPr>
      <w:rFonts w:ascii="Trebuchet MS" w:hAnsi="Trebuchet MS"/>
      <w:color w:val="595959" w:themeColor="text1" w:themeTint="A6"/>
      <w:sz w:val="16"/>
      <w:szCs w:val="20"/>
    </w:rPr>
  </w:style>
  <w:style w:type="paragraph" w:styleId="ListParagraph">
    <w:name w:val="List Paragraph"/>
    <w:basedOn w:val="Normal"/>
    <w:uiPriority w:val="34"/>
    <w:qFormat/>
    <w:rsid w:val="00B93AA0"/>
    <w:pPr>
      <w:ind w:left="720"/>
      <w:contextualSpacing/>
    </w:pPr>
  </w:style>
  <w:style w:type="paragraph" w:styleId="FootnoteText">
    <w:name w:val="footnote text"/>
    <w:basedOn w:val="Normal"/>
    <w:link w:val="FootnoteTextChar"/>
    <w:rsid w:val="000C64EA"/>
    <w:rPr>
      <w:sz w:val="20"/>
      <w:szCs w:val="20"/>
    </w:rPr>
  </w:style>
  <w:style w:type="character" w:customStyle="1" w:styleId="FootnoteTextChar">
    <w:name w:val="Footnote Text Char"/>
    <w:basedOn w:val="DefaultParagraphFont"/>
    <w:link w:val="FootnoteText"/>
    <w:rsid w:val="000C64EA"/>
  </w:style>
  <w:style w:type="character" w:styleId="FootnoteReference">
    <w:name w:val="footnote reference"/>
    <w:basedOn w:val="DefaultParagraphFont"/>
    <w:rsid w:val="000C64EA"/>
    <w:rPr>
      <w:vertAlign w:val="superscript"/>
    </w:rPr>
  </w:style>
  <w:style w:type="character" w:styleId="FollowedHyperlink">
    <w:name w:val="FollowedHyperlink"/>
    <w:basedOn w:val="DefaultParagraphFont"/>
    <w:rsid w:val="001353B1"/>
    <w:rPr>
      <w:color w:val="800080" w:themeColor="followedHyperlink"/>
      <w:u w:val="single"/>
    </w:rPr>
  </w:style>
  <w:style w:type="paragraph" w:styleId="Title">
    <w:name w:val="Title"/>
    <w:basedOn w:val="Normal"/>
    <w:link w:val="TitleChar"/>
    <w:qFormat/>
    <w:rsid w:val="00237068"/>
    <w:pPr>
      <w:tabs>
        <w:tab w:val="left" w:pos="900"/>
        <w:tab w:val="left" w:pos="3600"/>
        <w:tab w:val="left" w:pos="4320"/>
        <w:tab w:val="left" w:pos="6840"/>
      </w:tabs>
      <w:jc w:val="center"/>
    </w:pPr>
    <w:rPr>
      <w:rFonts w:ascii="Arial" w:hAnsi="Arial" w:cs="Arial"/>
      <w:b/>
      <w:bCs/>
      <w:smallCaps/>
      <w:sz w:val="32"/>
    </w:rPr>
  </w:style>
  <w:style w:type="character" w:customStyle="1" w:styleId="TitleChar">
    <w:name w:val="Title Char"/>
    <w:basedOn w:val="DefaultParagraphFont"/>
    <w:link w:val="Title"/>
    <w:rsid w:val="00237068"/>
    <w:rPr>
      <w:rFonts w:ascii="Arial" w:hAnsi="Arial" w:cs="Arial"/>
      <w:b/>
      <w:bCs/>
      <w:smallCaps/>
      <w:sz w:val="32"/>
      <w:szCs w:val="24"/>
    </w:rPr>
  </w:style>
  <w:style w:type="character" w:customStyle="1" w:styleId="Heading2Char">
    <w:name w:val="Heading 2 Char"/>
    <w:basedOn w:val="DefaultParagraphFont"/>
    <w:link w:val="Heading2"/>
    <w:rsid w:val="00436C50"/>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5872F2"/>
    <w:pPr>
      <w:spacing w:before="100" w:beforeAutospacing="1" w:after="100" w:afterAutospacing="1"/>
    </w:pPr>
  </w:style>
  <w:style w:type="character" w:customStyle="1" w:styleId="UnresolvedMention">
    <w:name w:val="Unresolved Mention"/>
    <w:basedOn w:val="DefaultParagraphFont"/>
    <w:uiPriority w:val="99"/>
    <w:semiHidden/>
    <w:unhideWhenUsed/>
    <w:rsid w:val="001810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56349">
      <w:bodyDiv w:val="1"/>
      <w:marLeft w:val="0"/>
      <w:marRight w:val="0"/>
      <w:marTop w:val="0"/>
      <w:marBottom w:val="0"/>
      <w:divBdr>
        <w:top w:val="none" w:sz="0" w:space="0" w:color="auto"/>
        <w:left w:val="none" w:sz="0" w:space="0" w:color="auto"/>
        <w:bottom w:val="none" w:sz="0" w:space="0" w:color="auto"/>
        <w:right w:val="none" w:sz="0" w:space="0" w:color="auto"/>
      </w:divBdr>
    </w:div>
    <w:div w:id="68879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Excel_Worksheet.xlsx"/><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package" Target="embeddings/Microsoft_Excel_Worksheet2.xlsx"/><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ites.google.com/state.co.us/cdothub/teams/accounting-finance/compliance-for-accounting-finance" TargetMode="External"/><Relationship Id="rId5" Type="http://schemas.openxmlformats.org/officeDocument/2006/relationships/numbering" Target="numbering.xml"/><Relationship Id="rId15" Type="http://schemas.openxmlformats.org/officeDocument/2006/relationships/package" Target="embeddings/Microsoft_Excel_Worksheet1.xlsx"/><Relationship Id="rId10" Type="http://schemas.openxmlformats.org/officeDocument/2006/relationships/endnotes" Target="endnotes.xml"/><Relationship Id="rId19" Type="http://schemas.openxmlformats.org/officeDocument/2006/relationships/package" Target="embeddings/Microsoft_Word_Document.doc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1542638FDC7246AD7F835072F99040" ma:contentTypeVersion="0" ma:contentTypeDescription="Create a new document." ma:contentTypeScope="" ma:versionID="3d780e71d7d64034346f75868b4e365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F15F9-2B0B-4976-AFEB-21A54F9E6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4EF1794-F88B-4D6B-8F18-33ACA708947F}">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www.w3.org/XML/1998/namespace"/>
  </ds:schemaRefs>
</ds:datastoreItem>
</file>

<file path=customXml/itemProps3.xml><?xml version="1.0" encoding="utf-8"?>
<ds:datastoreItem xmlns:ds="http://schemas.openxmlformats.org/officeDocument/2006/customXml" ds:itemID="{3C356772-3249-4C8B-B650-F216F3C86B55}">
  <ds:schemaRefs>
    <ds:schemaRef ds:uri="http://schemas.microsoft.com/sharepoint/v3/contenttype/forms"/>
  </ds:schemaRefs>
</ds:datastoreItem>
</file>

<file path=customXml/itemProps4.xml><?xml version="1.0" encoding="utf-8"?>
<ds:datastoreItem xmlns:ds="http://schemas.openxmlformats.org/officeDocument/2006/customXml" ds:itemID="{3B2EAAD6-B14A-44DD-B772-E57AC47F1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902</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CONTRACTOR'S PROJECT SAFETY MANAGEMENT PLAN</vt:lpstr>
    </vt:vector>
  </TitlesOfParts>
  <Company>CDOT</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CONTRACTOR'S PROJECT SAFETY MANAGEMENT PLAN</dc:title>
  <dc:creator>coyv</dc:creator>
  <cp:lastModifiedBy>Avgeris, Louis</cp:lastModifiedBy>
  <cp:revision>17</cp:revision>
  <cp:lastPrinted>2014-11-03T17:29:00Z</cp:lastPrinted>
  <dcterms:created xsi:type="dcterms:W3CDTF">2023-11-29T19:41:00Z</dcterms:created>
  <dcterms:modified xsi:type="dcterms:W3CDTF">2023-12-04T16:40:00Z</dcterms:modified>
</cp:coreProperties>
</file>