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50" w:rsidRDefault="004E4C50" w:rsidP="003C3F1C">
      <w:pPr>
        <w:rPr>
          <w:sz w:val="22"/>
        </w:rPr>
      </w:pPr>
    </w:p>
    <w:p w:rsidR="004E4C50" w:rsidRDefault="004E4C50" w:rsidP="001237A2">
      <w:pPr>
        <w:tabs>
          <w:tab w:val="right" w:pos="8640"/>
        </w:tabs>
        <w:jc w:val="right"/>
        <w:rPr>
          <w:rFonts w:ascii="Arial" w:hAnsi="Arial" w:cs="Arial"/>
          <w:b/>
          <w:sz w:val="28"/>
          <w:szCs w:val="28"/>
        </w:rPr>
      </w:pPr>
      <w:r>
        <w:rPr>
          <w:sz w:val="22"/>
        </w:rPr>
        <w:tab/>
      </w:r>
      <w:r w:rsidR="001237A2">
        <w:rPr>
          <w:rFonts w:ascii="Arial" w:hAnsi="Arial" w:cs="Arial"/>
          <w:sz w:val="28"/>
          <w:szCs w:val="28"/>
        </w:rPr>
        <w:t xml:space="preserve">October </w:t>
      </w:r>
      <w:r w:rsidR="00E814E8">
        <w:rPr>
          <w:rFonts w:ascii="Arial" w:hAnsi="Arial" w:cs="Arial"/>
          <w:sz w:val="28"/>
          <w:szCs w:val="28"/>
        </w:rPr>
        <w:t>21</w:t>
      </w:r>
      <w:r w:rsidR="001237A2">
        <w:rPr>
          <w:rFonts w:ascii="Arial" w:hAnsi="Arial" w:cs="Arial"/>
          <w:sz w:val="28"/>
          <w:szCs w:val="28"/>
        </w:rPr>
        <w:t>, 2010</w:t>
      </w:r>
    </w:p>
    <w:p w:rsidR="004E4C50" w:rsidRDefault="004E4C50" w:rsidP="009C4DDA">
      <w:pPr>
        <w:pStyle w:val="Title"/>
        <w:rPr>
          <w:rFonts w:ascii="Arial" w:hAnsi="Arial" w:cs="Arial"/>
          <w:b w:val="0"/>
          <w:sz w:val="28"/>
          <w:szCs w:val="28"/>
        </w:rPr>
      </w:pPr>
    </w:p>
    <w:p w:rsidR="004E4C50" w:rsidRPr="00302453" w:rsidRDefault="004E4C50" w:rsidP="002C68E1">
      <w:pPr>
        <w:pStyle w:val="Title"/>
        <w:spacing w:line="240" w:lineRule="auto"/>
        <w:rPr>
          <w:rFonts w:ascii="Arial" w:hAnsi="Arial" w:cs="Arial"/>
          <w:b w:val="0"/>
          <w:bCs/>
          <w:sz w:val="28"/>
          <w:szCs w:val="28"/>
        </w:rPr>
      </w:pPr>
      <w:r w:rsidRPr="00302453">
        <w:rPr>
          <w:rFonts w:ascii="Arial" w:hAnsi="Arial" w:cs="Arial"/>
          <w:b w:val="0"/>
          <w:bCs/>
          <w:sz w:val="28"/>
          <w:szCs w:val="28"/>
        </w:rPr>
        <w:t>REVISION OF SECTION 109</w:t>
      </w:r>
    </w:p>
    <w:p w:rsidR="004E4C50" w:rsidRPr="00302453" w:rsidRDefault="004E4C50" w:rsidP="002C68E1">
      <w:pPr>
        <w:pStyle w:val="Title"/>
        <w:spacing w:line="240" w:lineRule="auto"/>
        <w:rPr>
          <w:rFonts w:ascii="Arial" w:hAnsi="Arial" w:cs="Arial"/>
          <w:b w:val="0"/>
          <w:bCs/>
          <w:sz w:val="28"/>
          <w:szCs w:val="28"/>
        </w:rPr>
      </w:pPr>
      <w:r w:rsidRPr="00302453">
        <w:rPr>
          <w:rFonts w:ascii="Arial" w:hAnsi="Arial" w:cs="Arial"/>
          <w:b w:val="0"/>
          <w:bCs/>
          <w:sz w:val="28"/>
          <w:szCs w:val="28"/>
        </w:rPr>
        <w:t xml:space="preserve">ASPHALT CEMENT COST ADJUSTMENT </w:t>
      </w:r>
    </w:p>
    <w:p w:rsidR="004E4C50" w:rsidRPr="00302453" w:rsidRDefault="004E4C50" w:rsidP="002C68E1">
      <w:pPr>
        <w:pStyle w:val="Title"/>
        <w:spacing w:line="240" w:lineRule="auto"/>
        <w:rPr>
          <w:rFonts w:ascii="Arial" w:hAnsi="Arial" w:cs="Arial"/>
          <w:b w:val="0"/>
          <w:bCs/>
          <w:sz w:val="20"/>
        </w:rPr>
      </w:pPr>
      <w:r w:rsidRPr="00302453">
        <w:rPr>
          <w:rFonts w:ascii="Arial" w:hAnsi="Arial" w:cs="Arial"/>
          <w:b w:val="0"/>
          <w:bCs/>
          <w:sz w:val="28"/>
          <w:szCs w:val="28"/>
        </w:rPr>
        <w:t>(ASPHALT CEMENT PAID SEPARATELY)</w:t>
      </w:r>
    </w:p>
    <w:p w:rsidR="004E4C50" w:rsidRPr="005E6D3D" w:rsidRDefault="004E4C50" w:rsidP="009C4DDA">
      <w:pPr>
        <w:jc w:val="center"/>
        <w:rPr>
          <w:bCs/>
          <w:sz w:val="28"/>
          <w:szCs w:val="28"/>
        </w:rPr>
      </w:pPr>
    </w:p>
    <w:p w:rsidR="004E4C50" w:rsidRDefault="004E4C50" w:rsidP="009C4DDA">
      <w:pPr>
        <w:jc w:val="center"/>
        <w:rPr>
          <w:b/>
          <w:bCs/>
          <w:sz w:val="40"/>
          <w:szCs w:val="40"/>
        </w:rPr>
      </w:pPr>
      <w:r>
        <w:rPr>
          <w:b/>
          <w:bCs/>
          <w:sz w:val="40"/>
          <w:szCs w:val="40"/>
        </w:rPr>
        <w:t>NOTICE</w:t>
      </w:r>
    </w:p>
    <w:p w:rsidR="004E4C50" w:rsidRDefault="004E4C50" w:rsidP="009C4DDA">
      <w:pPr>
        <w:spacing w:line="228" w:lineRule="auto"/>
        <w:rPr>
          <w:sz w:val="28"/>
          <w:szCs w:val="28"/>
        </w:rPr>
      </w:pPr>
    </w:p>
    <w:p w:rsidR="004E4C50" w:rsidRDefault="004E4C50" w:rsidP="009C4DDA">
      <w:pPr>
        <w:spacing w:line="228" w:lineRule="auto"/>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4E4C50" w:rsidRDefault="004E4C50" w:rsidP="009C4DDA">
      <w:pPr>
        <w:spacing w:line="228" w:lineRule="auto"/>
        <w:rPr>
          <w:sz w:val="28"/>
          <w:szCs w:val="28"/>
        </w:rPr>
      </w:pPr>
    </w:p>
    <w:p w:rsidR="004E4C50" w:rsidRDefault="004E4C50" w:rsidP="009C4DDA">
      <w:pPr>
        <w:spacing w:line="228" w:lineRule="auto"/>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E4C50" w:rsidRDefault="004E4C50" w:rsidP="009C4DDA">
      <w:pPr>
        <w:spacing w:line="228" w:lineRule="auto"/>
        <w:rPr>
          <w:sz w:val="28"/>
          <w:szCs w:val="28"/>
        </w:rPr>
      </w:pPr>
    </w:p>
    <w:p w:rsidR="004E4C50" w:rsidRPr="00302453" w:rsidRDefault="004E4C50" w:rsidP="009C4DDA">
      <w:pPr>
        <w:spacing w:line="228" w:lineRule="auto"/>
        <w:rPr>
          <w:color w:val="800000"/>
          <w:sz w:val="28"/>
          <w:szCs w:val="28"/>
        </w:rPr>
      </w:pPr>
      <w:r w:rsidRPr="00302453">
        <w:rPr>
          <w:rFonts w:ascii="Photina" w:hAnsi="Photina" w:cs="Photina"/>
          <w:b/>
          <w:bCs/>
          <w:color w:val="800000"/>
          <w:sz w:val="28"/>
          <w:szCs w:val="28"/>
        </w:rPr>
        <w:t xml:space="preserve">Instructions for use on CDOT construction projects:  </w:t>
      </w:r>
    </w:p>
    <w:p w:rsidR="004E4C50" w:rsidRDefault="004E4C50" w:rsidP="009C4DDA">
      <w:pPr>
        <w:spacing w:line="228" w:lineRule="auto"/>
        <w:rPr>
          <w:sz w:val="28"/>
          <w:szCs w:val="28"/>
        </w:rPr>
      </w:pPr>
    </w:p>
    <w:p w:rsidR="004E4C50" w:rsidRPr="001237A2" w:rsidRDefault="004E4C50" w:rsidP="004E4C50">
      <w:pPr>
        <w:numPr>
          <w:ilvl w:val="0"/>
          <w:numId w:val="8"/>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sz w:val="24"/>
          <w:szCs w:val="24"/>
        </w:rPr>
      </w:pPr>
      <w:r w:rsidRPr="001237A2">
        <w:rPr>
          <w:sz w:val="24"/>
          <w:szCs w:val="24"/>
        </w:rPr>
        <w:t>Use this standard special provision in all projects with item 411 Asphalt Cement.</w:t>
      </w:r>
    </w:p>
    <w:p w:rsidR="004E4C50" w:rsidRPr="001237A2" w:rsidRDefault="004E4C50" w:rsidP="004E4C50">
      <w:pPr>
        <w:numPr>
          <w:ilvl w:val="0"/>
          <w:numId w:val="8"/>
        </w:numPr>
        <w:spacing w:line="228" w:lineRule="auto"/>
        <w:rPr>
          <w:color w:val="000000"/>
          <w:sz w:val="24"/>
          <w:szCs w:val="24"/>
        </w:rPr>
      </w:pPr>
      <w:r w:rsidRPr="001237A2">
        <w:rPr>
          <w:color w:val="000000"/>
          <w:sz w:val="24"/>
          <w:szCs w:val="24"/>
        </w:rPr>
        <w:t xml:space="preserve">The designer should add a Planned Force Account item called F/A Asphalt Cement Cost Adjustment, Pay Item </w:t>
      </w:r>
      <w:r w:rsidRPr="001237A2">
        <w:rPr>
          <w:sz w:val="24"/>
          <w:szCs w:val="24"/>
        </w:rPr>
        <w:t>700-70019</w:t>
      </w:r>
      <w:r w:rsidRPr="001237A2">
        <w:rPr>
          <w:color w:val="000000"/>
          <w:sz w:val="24"/>
          <w:szCs w:val="24"/>
        </w:rPr>
        <w:t xml:space="preserve"> to the plans and project special provisions to account for the possibility that an adjustment will be required.  The amount of this Force Account item to be included in the project budget can be calculated using the AC Cost Adjustment Worksheet provided on the Design and Construction Support - Asphalt Cement Cost Adjustment website.  Input the following data in the worksheet:</w:t>
      </w:r>
    </w:p>
    <w:p w:rsidR="004E4C50" w:rsidRPr="001237A2" w:rsidRDefault="004E4C50" w:rsidP="004E4C50">
      <w:pPr>
        <w:numPr>
          <w:ilvl w:val="0"/>
          <w:numId w:val="9"/>
        </w:numPr>
        <w:autoSpaceDE w:val="0"/>
        <w:autoSpaceDN w:val="0"/>
        <w:adjustRightInd w:val="0"/>
        <w:spacing w:line="216" w:lineRule="auto"/>
        <w:rPr>
          <w:color w:val="000000"/>
          <w:sz w:val="24"/>
          <w:szCs w:val="24"/>
        </w:rPr>
      </w:pPr>
      <w:r w:rsidRPr="001237A2">
        <w:rPr>
          <w:color w:val="000000"/>
          <w:sz w:val="24"/>
          <w:szCs w:val="24"/>
        </w:rPr>
        <w:t xml:space="preserve">The designer should add a Planned Force Account item called F/A Asphalt Cement Cost Adjustment, Pay Item </w:t>
      </w:r>
      <w:r w:rsidRPr="001237A2">
        <w:rPr>
          <w:sz w:val="24"/>
          <w:szCs w:val="24"/>
        </w:rPr>
        <w:t>700-70019</w:t>
      </w:r>
      <w:r w:rsidRPr="001237A2">
        <w:rPr>
          <w:color w:val="000000"/>
          <w:sz w:val="24"/>
          <w:szCs w:val="24"/>
        </w:rPr>
        <w:t xml:space="preserve"> to the plans and project special provisions to account for the possibility that an adjustment will be required.  The amount of this Force Account item to be included in the project budget can be calculated using the AC Cost Adjustment Worksheet provided on the Design and Construction Support - Asphalt Cement Cost Adjustment website.  Input the following data in the worksheet</w:t>
      </w:r>
    </w:p>
    <w:p w:rsidR="004E4C50" w:rsidRPr="001237A2" w:rsidRDefault="004E4C50" w:rsidP="004E4C50">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1237A2">
        <w:rPr>
          <w:color w:val="000000"/>
          <w:sz w:val="24"/>
          <w:szCs w:val="24"/>
        </w:rPr>
        <w:t>Price index for the current month (BP)</w:t>
      </w:r>
    </w:p>
    <w:p w:rsidR="004E4C50" w:rsidRPr="001237A2" w:rsidRDefault="004E4C50" w:rsidP="004E4C50">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1237A2">
        <w:rPr>
          <w:color w:val="000000"/>
          <w:sz w:val="24"/>
          <w:szCs w:val="24"/>
        </w:rPr>
        <w:t>BP + 10%</w:t>
      </w:r>
    </w:p>
    <w:p w:rsidR="004E4C50" w:rsidRPr="001237A2" w:rsidRDefault="004E4C50" w:rsidP="004E4C50">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1237A2">
        <w:rPr>
          <w:color w:val="000000"/>
          <w:sz w:val="24"/>
          <w:szCs w:val="24"/>
        </w:rPr>
        <w:t>Estimated Percent AC to be in the mix in decimal, i.e. 0.05 for 5%</w:t>
      </w:r>
    </w:p>
    <w:p w:rsidR="004E4C50" w:rsidRPr="001237A2" w:rsidRDefault="004E4C50" w:rsidP="004E4C50">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1237A2">
        <w:rPr>
          <w:color w:val="000000"/>
          <w:sz w:val="24"/>
          <w:szCs w:val="24"/>
        </w:rPr>
        <w:t>Planned tonnage</w:t>
      </w:r>
    </w:p>
    <w:p w:rsidR="004E4C50" w:rsidRPr="001237A2" w:rsidRDefault="004E4C50" w:rsidP="004E4C50">
      <w:pPr>
        <w:numPr>
          <w:ilvl w:val="2"/>
          <w:numId w:val="9"/>
        </w:numPr>
        <w:tabs>
          <w:tab w:val="clear" w:pos="3960"/>
          <w:tab w:val="left" w:pos="1080"/>
        </w:tabs>
        <w:autoSpaceDE w:val="0"/>
        <w:autoSpaceDN w:val="0"/>
        <w:adjustRightInd w:val="0"/>
        <w:spacing w:line="216" w:lineRule="auto"/>
        <w:ind w:left="1440"/>
        <w:rPr>
          <w:color w:val="000000"/>
          <w:sz w:val="24"/>
          <w:szCs w:val="24"/>
        </w:rPr>
      </w:pPr>
      <w:r w:rsidRPr="001237A2">
        <w:rPr>
          <w:color w:val="000000"/>
          <w:sz w:val="24"/>
          <w:szCs w:val="24"/>
        </w:rPr>
        <w:t>This will calculate an estimated dollar amount assuming a 10% increase in price.  This should be used as the minimum FA budget amount.</w:t>
      </w:r>
    </w:p>
    <w:p w:rsidR="004E4C50" w:rsidRPr="001237A2" w:rsidRDefault="004E4C50" w:rsidP="004E4C50">
      <w:pPr>
        <w:numPr>
          <w:ilvl w:val="1"/>
          <w:numId w:val="9"/>
        </w:numPr>
        <w:tabs>
          <w:tab w:val="clear" w:pos="3240"/>
          <w:tab w:val="left" w:pos="1080"/>
        </w:tabs>
        <w:autoSpaceDE w:val="0"/>
        <w:autoSpaceDN w:val="0"/>
        <w:adjustRightInd w:val="0"/>
        <w:spacing w:line="216" w:lineRule="auto"/>
        <w:ind w:left="1080" w:hanging="450"/>
        <w:rPr>
          <w:color w:val="000000"/>
          <w:sz w:val="24"/>
          <w:szCs w:val="24"/>
        </w:rPr>
      </w:pPr>
      <w:r w:rsidRPr="001237A2">
        <w:rPr>
          <w:color w:val="000000"/>
          <w:sz w:val="24"/>
          <w:szCs w:val="24"/>
        </w:rPr>
        <w:t>Follow the same instructions but use BP + 50% for the estimated maximum amount the project would pay in AC Cost Adjustment</w:t>
      </w:r>
    </w:p>
    <w:p w:rsidR="004E4C50" w:rsidRPr="001237A2" w:rsidRDefault="004E4C50" w:rsidP="004E4C50">
      <w:pPr>
        <w:numPr>
          <w:ilvl w:val="2"/>
          <w:numId w:val="9"/>
        </w:numPr>
        <w:tabs>
          <w:tab w:val="clear" w:pos="3960"/>
          <w:tab w:val="left" w:pos="1080"/>
        </w:tabs>
        <w:autoSpaceDE w:val="0"/>
        <w:autoSpaceDN w:val="0"/>
        <w:adjustRightInd w:val="0"/>
        <w:spacing w:line="216" w:lineRule="auto"/>
        <w:ind w:left="1440"/>
        <w:rPr>
          <w:color w:val="000000"/>
          <w:sz w:val="24"/>
          <w:szCs w:val="24"/>
        </w:rPr>
      </w:pPr>
      <w:r w:rsidRPr="001237A2">
        <w:rPr>
          <w:color w:val="000000"/>
          <w:sz w:val="24"/>
          <w:szCs w:val="24"/>
        </w:rPr>
        <w:t>This will calculate an estimated dollar amount assuming a 50% increase in price.  This should be used as the maximum FA budget amount.</w:t>
      </w:r>
    </w:p>
    <w:p w:rsidR="004E4C50" w:rsidRPr="001237A2" w:rsidRDefault="004E4C50" w:rsidP="004E4C50">
      <w:pPr>
        <w:numPr>
          <w:ilvl w:val="1"/>
          <w:numId w:val="9"/>
        </w:numPr>
        <w:tabs>
          <w:tab w:val="clear" w:pos="3240"/>
          <w:tab w:val="num" w:pos="1080"/>
        </w:tabs>
        <w:autoSpaceDE w:val="0"/>
        <w:autoSpaceDN w:val="0"/>
        <w:adjustRightInd w:val="0"/>
        <w:spacing w:line="216" w:lineRule="auto"/>
        <w:ind w:hanging="2610"/>
        <w:rPr>
          <w:color w:val="000000"/>
          <w:sz w:val="24"/>
          <w:szCs w:val="24"/>
        </w:rPr>
      </w:pPr>
      <w:r w:rsidRPr="001237A2">
        <w:rPr>
          <w:color w:val="000000"/>
          <w:sz w:val="24"/>
          <w:szCs w:val="24"/>
        </w:rPr>
        <w:t>Contact your Area Engineer if you have any questions.</w:t>
      </w:r>
    </w:p>
    <w:p w:rsidR="004E4C50" w:rsidRPr="001237A2" w:rsidRDefault="004E4C50" w:rsidP="004E4C50">
      <w:pPr>
        <w:numPr>
          <w:ilvl w:val="1"/>
          <w:numId w:val="9"/>
        </w:numPr>
        <w:tabs>
          <w:tab w:val="clear" w:pos="3240"/>
          <w:tab w:val="left" w:pos="1080"/>
        </w:tabs>
        <w:autoSpaceDE w:val="0"/>
        <w:autoSpaceDN w:val="0"/>
        <w:adjustRightInd w:val="0"/>
        <w:spacing w:line="216" w:lineRule="auto"/>
        <w:ind w:left="1080" w:hanging="450"/>
        <w:rPr>
          <w:color w:val="000000"/>
          <w:sz w:val="24"/>
          <w:szCs w:val="24"/>
        </w:rPr>
      </w:pPr>
      <w:r w:rsidRPr="001237A2">
        <w:rPr>
          <w:color w:val="000000"/>
          <w:sz w:val="24"/>
          <w:szCs w:val="24"/>
        </w:rPr>
        <w:t>The Region may determine an amount between these two figures for the final FA budget amount.</w:t>
      </w:r>
    </w:p>
    <w:p w:rsidR="004E4C50" w:rsidRPr="001237A2" w:rsidRDefault="004E4C50" w:rsidP="004E4C50">
      <w:pPr>
        <w:numPr>
          <w:ilvl w:val="0"/>
          <w:numId w:val="9"/>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color w:val="000000"/>
          <w:sz w:val="24"/>
          <w:szCs w:val="24"/>
        </w:rPr>
      </w:pPr>
      <w:r w:rsidRPr="001237A2">
        <w:rPr>
          <w:color w:val="000000"/>
          <w:sz w:val="24"/>
          <w:szCs w:val="24"/>
        </w:rPr>
        <w:lastRenderedPageBreak/>
        <w:t>Contact your Area Engineer if you have any questions.</w:t>
      </w:r>
    </w:p>
    <w:p w:rsidR="004E4C50" w:rsidRPr="001237A2" w:rsidRDefault="004E4C50" w:rsidP="004E4C50">
      <w:pPr>
        <w:numPr>
          <w:ilvl w:val="0"/>
          <w:numId w:val="9"/>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sz w:val="24"/>
          <w:szCs w:val="24"/>
        </w:rPr>
      </w:pPr>
      <w:r w:rsidRPr="001237A2">
        <w:rPr>
          <w:sz w:val="24"/>
          <w:szCs w:val="24"/>
        </w:rPr>
        <w:t xml:space="preserve">If </w:t>
      </w:r>
      <w:r w:rsidRPr="001237A2">
        <w:rPr>
          <w:color w:val="000000"/>
          <w:sz w:val="24"/>
          <w:szCs w:val="24"/>
        </w:rPr>
        <w:t>the</w:t>
      </w:r>
      <w:r w:rsidRPr="001237A2">
        <w:rPr>
          <w:sz w:val="24"/>
          <w:szCs w:val="24"/>
        </w:rPr>
        <w:t xml:space="preserve"> amount of actual Asphalt </w:t>
      </w:r>
      <w:r w:rsidRPr="001237A2">
        <w:rPr>
          <w:color w:val="000000"/>
          <w:sz w:val="24"/>
          <w:szCs w:val="24"/>
        </w:rPr>
        <w:t>C</w:t>
      </w:r>
      <w:r w:rsidRPr="001237A2">
        <w:rPr>
          <w:sz w:val="24"/>
          <w:szCs w:val="24"/>
        </w:rPr>
        <w:t>ement Adjustments exceeds the funding allotted in the Planned Force Account, the remainder of the adjustments should be made using funding from Minor Contract Revisions (MCRs), or by adding funding to the project.</w:t>
      </w:r>
    </w:p>
    <w:p w:rsidR="004E4C50" w:rsidRPr="00C35D6D" w:rsidRDefault="004E4C50" w:rsidP="000E0595">
      <w:pPr>
        <w:spacing w:after="200" w:line="276" w:lineRule="auto"/>
        <w:rPr>
          <w:color w:val="000000"/>
          <w:sz w:val="24"/>
          <w:szCs w:val="24"/>
        </w:rPr>
      </w:pPr>
      <w:r>
        <w:rPr>
          <w:sz w:val="24"/>
          <w:szCs w:val="24"/>
        </w:rPr>
        <w:br w:type="page"/>
      </w:r>
    </w:p>
    <w:p w:rsidR="004E4C50" w:rsidRDefault="001237A2" w:rsidP="000E0595">
      <w:pPr>
        <w:pStyle w:val="Title"/>
        <w:jc w:val="right"/>
        <w:rPr>
          <w:rFonts w:ascii="Arial" w:hAnsi="Arial" w:cs="Arial"/>
          <w:b w:val="0"/>
          <w:bCs/>
          <w:sz w:val="20"/>
        </w:rPr>
      </w:pPr>
      <w:r>
        <w:rPr>
          <w:rFonts w:ascii="Arial" w:hAnsi="Arial" w:cs="Arial"/>
          <w:b w:val="0"/>
          <w:noProof w:val="0"/>
          <w:sz w:val="20"/>
        </w:rPr>
        <w:lastRenderedPageBreak/>
        <w:t xml:space="preserve">October </w:t>
      </w:r>
      <w:r w:rsidR="00E814E8">
        <w:rPr>
          <w:rFonts w:ascii="Arial" w:hAnsi="Arial" w:cs="Arial"/>
          <w:b w:val="0"/>
          <w:noProof w:val="0"/>
          <w:sz w:val="20"/>
        </w:rPr>
        <w:t>21</w:t>
      </w:r>
      <w:r>
        <w:rPr>
          <w:rFonts w:ascii="Arial" w:hAnsi="Arial" w:cs="Arial"/>
          <w:b w:val="0"/>
          <w:noProof w:val="0"/>
          <w:sz w:val="20"/>
        </w:rPr>
        <w:t>, 2010</w:t>
      </w:r>
    </w:p>
    <w:p w:rsidR="004E4C50" w:rsidRDefault="004E4C50" w:rsidP="00B96C82">
      <w:pPr>
        <w:pStyle w:val="Title"/>
        <w:rPr>
          <w:rFonts w:ascii="Arial" w:hAnsi="Arial" w:cs="Arial"/>
          <w:b w:val="0"/>
          <w:bCs/>
          <w:sz w:val="20"/>
        </w:rPr>
      </w:pPr>
      <w:r>
        <w:rPr>
          <w:rFonts w:ascii="Arial" w:hAnsi="Arial" w:cs="Arial"/>
          <w:b w:val="0"/>
          <w:bCs/>
          <w:sz w:val="20"/>
        </w:rPr>
        <w:t>1</w:t>
      </w:r>
    </w:p>
    <w:p w:rsidR="004E4C50" w:rsidRDefault="004E4C50" w:rsidP="00B96C82">
      <w:pPr>
        <w:pStyle w:val="Title"/>
        <w:rPr>
          <w:rFonts w:ascii="Arial" w:hAnsi="Arial" w:cs="Arial"/>
          <w:b w:val="0"/>
          <w:bCs/>
          <w:sz w:val="20"/>
        </w:rPr>
      </w:pPr>
      <w:r>
        <w:rPr>
          <w:rFonts w:ascii="Arial" w:hAnsi="Arial" w:cs="Arial"/>
          <w:b w:val="0"/>
          <w:bCs/>
          <w:sz w:val="20"/>
        </w:rPr>
        <w:t>REVISION OF SECTION 109</w:t>
      </w:r>
    </w:p>
    <w:p w:rsidR="004E4C50" w:rsidRDefault="004E4C50" w:rsidP="00B96C82">
      <w:pPr>
        <w:pStyle w:val="Title"/>
        <w:rPr>
          <w:rFonts w:ascii="Arial" w:hAnsi="Arial" w:cs="Arial"/>
          <w:b w:val="0"/>
          <w:bCs/>
          <w:sz w:val="20"/>
        </w:rPr>
      </w:pPr>
      <w:r>
        <w:rPr>
          <w:rFonts w:ascii="Arial" w:hAnsi="Arial" w:cs="Arial"/>
          <w:b w:val="0"/>
          <w:bCs/>
          <w:sz w:val="20"/>
        </w:rPr>
        <w:t xml:space="preserve">ASPHALT CEMENT COST ADJUSTMENT </w:t>
      </w:r>
    </w:p>
    <w:p w:rsidR="004E4C50" w:rsidRDefault="004E4C50" w:rsidP="00B96C82">
      <w:pPr>
        <w:pStyle w:val="Title"/>
        <w:rPr>
          <w:rFonts w:ascii="Arial" w:hAnsi="Arial" w:cs="Arial"/>
          <w:b w:val="0"/>
          <w:bCs/>
          <w:sz w:val="20"/>
        </w:rPr>
      </w:pPr>
      <w:r>
        <w:rPr>
          <w:rFonts w:ascii="Arial" w:hAnsi="Arial" w:cs="Arial"/>
          <w:b w:val="0"/>
          <w:bCs/>
          <w:sz w:val="20"/>
        </w:rPr>
        <w:t xml:space="preserve">(ASPHALT CEMENT PAID SEPARATELY) </w:t>
      </w:r>
    </w:p>
    <w:p w:rsidR="004E4C50" w:rsidRDefault="004E4C50" w:rsidP="00B96C82">
      <w:pPr>
        <w:rPr>
          <w:rFonts w:ascii="Arial" w:hAnsi="Arial" w:cs="Arial"/>
        </w:rPr>
      </w:pPr>
    </w:p>
    <w:p w:rsidR="004E4C50" w:rsidRDefault="004E4C50" w:rsidP="00B96C82">
      <w:pPr>
        <w:rPr>
          <w:rFonts w:ascii="Arial" w:hAnsi="Arial" w:cs="Arial"/>
        </w:rPr>
      </w:pPr>
      <w:r>
        <w:rPr>
          <w:rFonts w:ascii="Arial" w:hAnsi="Arial" w:cs="Arial"/>
        </w:rPr>
        <w:t>Section 109 of the Standard Specifications is hereby revised for this project as follows:</w:t>
      </w:r>
    </w:p>
    <w:p w:rsidR="004E4C50" w:rsidRDefault="004E4C50" w:rsidP="00B96C82">
      <w:pPr>
        <w:rPr>
          <w:rFonts w:ascii="Arial" w:hAnsi="Arial" w:cs="Arial"/>
        </w:rPr>
      </w:pPr>
    </w:p>
    <w:p w:rsidR="004E4C50" w:rsidRDefault="004E4C50" w:rsidP="00B96C82">
      <w:pPr>
        <w:rPr>
          <w:rFonts w:ascii="Arial" w:hAnsi="Arial" w:cs="Arial"/>
        </w:rPr>
      </w:pPr>
      <w:r>
        <w:rPr>
          <w:rFonts w:ascii="Arial" w:hAnsi="Arial" w:cs="Arial"/>
        </w:rPr>
        <w:t>Subsection 109.06 shall include the following:</w:t>
      </w:r>
    </w:p>
    <w:p w:rsidR="004E4C50" w:rsidRDefault="004E4C50" w:rsidP="00B96C82">
      <w:pPr>
        <w:rPr>
          <w:rFonts w:ascii="Arial" w:hAnsi="Arial" w:cs="Arial"/>
        </w:rPr>
      </w:pPr>
    </w:p>
    <w:p w:rsidR="004E4C50" w:rsidRPr="00CA3E65" w:rsidRDefault="004E4C50" w:rsidP="004E4C50">
      <w:pPr>
        <w:numPr>
          <w:ilvl w:val="0"/>
          <w:numId w:val="5"/>
        </w:numPr>
        <w:rPr>
          <w:rFonts w:ascii="Arial" w:hAnsi="Arial" w:cs="Arial"/>
        </w:rPr>
      </w:pPr>
      <w:r w:rsidRPr="00CA3E65">
        <w:rPr>
          <w:rFonts w:ascii="Arial" w:hAnsi="Arial" w:cs="Arial"/>
          <w:i/>
          <w:iCs/>
        </w:rPr>
        <w:t>Asphalt Cement Cost Adjustments.</w:t>
      </w:r>
      <w:r w:rsidRPr="00CA3E65">
        <w:rPr>
          <w:rFonts w:ascii="Arial" w:hAnsi="Arial" w:cs="Arial"/>
        </w:rPr>
        <w:t xml:space="preserve">  Contract </w:t>
      </w:r>
      <w:r>
        <w:rPr>
          <w:rFonts w:ascii="Arial" w:hAnsi="Arial" w:cs="Arial"/>
        </w:rPr>
        <w:t>cost</w:t>
      </w:r>
      <w:r w:rsidRPr="00CA3E65">
        <w:rPr>
          <w:rFonts w:ascii="Arial" w:hAnsi="Arial" w:cs="Arial"/>
        </w:rPr>
        <w:t xml:space="preserve"> adjustments will be made to reflect increases or decreases in the monthly average price of asphalt cement from the average price for the month preceding the month in which bids were received for the Contract.  </w:t>
      </w:r>
      <w:r>
        <w:rPr>
          <w:rFonts w:ascii="Arial" w:hAnsi="Arial" w:cs="Arial"/>
        </w:rPr>
        <w:t>These cost adjustments are not a change to the Contract unit prices</w:t>
      </w:r>
      <w:r w:rsidRPr="00E14FA6">
        <w:rPr>
          <w:rFonts w:ascii="Arial" w:hAnsi="Arial" w:cs="Arial"/>
        </w:rPr>
        <w:t xml:space="preserve"> </w:t>
      </w:r>
      <w:r>
        <w:rPr>
          <w:rFonts w:ascii="Arial" w:hAnsi="Arial" w:cs="Arial"/>
        </w:rPr>
        <w:t>bid.</w:t>
      </w:r>
    </w:p>
    <w:p w:rsidR="004E4C50" w:rsidRPr="00CA3E65" w:rsidRDefault="004E4C50" w:rsidP="00B96C82">
      <w:pPr>
        <w:ind w:left="360" w:hanging="360"/>
        <w:rPr>
          <w:rFonts w:ascii="Arial" w:hAnsi="Arial" w:cs="Arial"/>
        </w:rPr>
      </w:pPr>
    </w:p>
    <w:p w:rsidR="004E4C50" w:rsidRDefault="004E4C50" w:rsidP="004E4C50">
      <w:pPr>
        <w:numPr>
          <w:ilvl w:val="0"/>
          <w:numId w:val="6"/>
        </w:numPr>
        <w:spacing w:after="60"/>
        <w:rPr>
          <w:rFonts w:ascii="Arial" w:hAnsi="Arial" w:cs="Arial"/>
        </w:rPr>
      </w:pPr>
      <w:r>
        <w:rPr>
          <w:rFonts w:ascii="Arial" w:hAnsi="Arial" w:cs="Arial"/>
        </w:rPr>
        <w:t>Cost</w:t>
      </w:r>
      <w:r w:rsidRPr="00CA3E65">
        <w:rPr>
          <w:rFonts w:ascii="Arial" w:hAnsi="Arial" w:cs="Arial"/>
        </w:rPr>
        <w:t xml:space="preserve"> adjustments will be based on the asphalt cement price index established by the Department and calculated as shown in subsection 109.06(i)2.D below.  The index will be the average for the month of the daily postings of the spot price per barrel of Western Canadian Select (WCS) as published on</w:t>
      </w:r>
      <w:r>
        <w:rPr>
          <w:rFonts w:ascii="Arial" w:hAnsi="Arial" w:cs="Arial"/>
        </w:rPr>
        <w:t xml:space="preserve"> </w:t>
      </w:r>
      <w:hyperlink r:id="rId7" w:history="1">
        <w:r w:rsidRPr="00D22B5B">
          <w:rPr>
            <w:rStyle w:val="Hyperlink"/>
            <w:rFonts w:ascii="Arial" w:hAnsi="Arial" w:cs="Arial"/>
          </w:rPr>
          <w:t>http://www.cenovus.com/operations/doing-business-with-us/marketing/crude-oil-pricing.html</w:t>
        </w:r>
      </w:hyperlink>
      <w:r>
        <w:rPr>
          <w:rFonts w:ascii="Arial" w:hAnsi="Arial" w:cs="Arial"/>
        </w:rPr>
        <w:t xml:space="preserve">.  The index from this source will be converted to US Dollars using the currency converter at </w:t>
      </w:r>
      <w:hyperlink r:id="rId8" w:history="1">
        <w:r>
          <w:rPr>
            <w:rStyle w:val="Hyperlink"/>
            <w:rFonts w:ascii="Arial" w:hAnsi="Arial" w:cs="Arial"/>
          </w:rPr>
          <w:t>http://finance.yahoo.com/currency</w:t>
        </w:r>
      </w:hyperlink>
      <w:r>
        <w:rPr>
          <w:rFonts w:ascii="Arial" w:hAnsi="Arial" w:cs="Arial"/>
        </w:rPr>
        <w:t xml:space="preserve">: the posted price of Canadian Dollars per cubic meter of WCS on Cenovus.com will be converted to US Dollars per cubic </w:t>
      </w:r>
      <w:r w:rsidRPr="00CA3E65">
        <w:rPr>
          <w:rFonts w:ascii="Arial" w:hAnsi="Arial" w:cs="Arial"/>
        </w:rPr>
        <w:t>meter.  A conversion factor of 0.89 cubic meter per Ton will be used to convert the posted price from cubic meter to tons.  The converted daily prices and the average index number for the month will be posted</w:t>
      </w:r>
      <w:r>
        <w:rPr>
          <w:rFonts w:ascii="Arial" w:hAnsi="Arial" w:cs="Arial"/>
        </w:rPr>
        <w:t xml:space="preserve"> as soon as they are available</w:t>
      </w:r>
      <w:r w:rsidRPr="00CA3E65">
        <w:rPr>
          <w:rFonts w:ascii="Arial" w:hAnsi="Arial" w:cs="Arial"/>
        </w:rPr>
        <w:t xml:space="preserve"> on the CDOT website at: </w:t>
      </w:r>
    </w:p>
    <w:p w:rsidR="004E4C50" w:rsidRPr="006107A2" w:rsidRDefault="007B41A1" w:rsidP="00B96C82">
      <w:pPr>
        <w:ind w:left="720"/>
        <w:rPr>
          <w:rFonts w:ascii="Arial" w:hAnsi="Arial" w:cs="Arial"/>
        </w:rPr>
      </w:pPr>
      <w:hyperlink r:id="rId9" w:history="1">
        <w:r w:rsidR="004E4C50" w:rsidRPr="00090AD6">
          <w:rPr>
            <w:rStyle w:val="Hyperlink"/>
            <w:rFonts w:ascii="Arial" w:hAnsi="Arial" w:cs="Arial"/>
          </w:rPr>
          <w:t>http://www.dot.state.co.us/DesignSupport/Construction/Fuel%20Cost%20Adjustments/Cenovus/Daily_Prices/Daily_Asphalt_Cement_Cost_Adjustment_Index.htm</w:t>
        </w:r>
      </w:hyperlink>
      <w:r w:rsidR="004E4C50">
        <w:rPr>
          <w:rFonts w:ascii="Arial" w:hAnsi="Arial" w:cs="Arial"/>
        </w:rPr>
        <w:t xml:space="preserve"> </w:t>
      </w:r>
    </w:p>
    <w:p w:rsidR="004E4C50" w:rsidRDefault="004E4C50" w:rsidP="00B96C82">
      <w:pPr>
        <w:rPr>
          <w:sz w:val="24"/>
          <w:szCs w:val="24"/>
        </w:rPr>
      </w:pPr>
    </w:p>
    <w:p w:rsidR="004E4C50" w:rsidRDefault="004E4C50" w:rsidP="004E4C50">
      <w:pPr>
        <w:numPr>
          <w:ilvl w:val="0"/>
          <w:numId w:val="6"/>
        </w:numPr>
        <w:rPr>
          <w:rFonts w:ascii="Arial" w:hAnsi="Arial" w:cs="Arial"/>
        </w:rPr>
      </w:pPr>
      <w:r>
        <w:rPr>
          <w:rFonts w:ascii="Arial" w:hAnsi="Arial" w:cs="Arial"/>
        </w:rPr>
        <w:t>Cost adjustments will be made on a monthly basis subject to the following conditions:</w:t>
      </w:r>
    </w:p>
    <w:p w:rsidR="004E4C50" w:rsidRDefault="004E4C50" w:rsidP="00B96C82">
      <w:pPr>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 xml:space="preserve">Adjustment will be based on the pay quantities on the monthly partial pay estimate for the following pay item </w:t>
      </w:r>
      <w:r w:rsidRPr="00697426">
        <w:rPr>
          <w:rFonts w:ascii="Arial" w:hAnsi="Arial" w:cs="Arial"/>
        </w:rPr>
        <w:t>when</w:t>
      </w:r>
      <w:r>
        <w:rPr>
          <w:rFonts w:ascii="Arial" w:hAnsi="Arial" w:cs="Arial"/>
        </w:rPr>
        <w:t xml:space="preserve"> measured by the ton:</w:t>
      </w:r>
    </w:p>
    <w:p w:rsidR="002327F2" w:rsidRDefault="002327F2" w:rsidP="002327F2">
      <w:pPr>
        <w:tabs>
          <w:tab w:val="left" w:pos="1440"/>
          <w:tab w:val="right" w:pos="8640"/>
        </w:tabs>
        <w:rPr>
          <w:rFonts w:ascii="Arial" w:hAnsi="Arial" w:cs="Arial"/>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tblPr>
      <w:tblGrid>
        <w:gridCol w:w="1117"/>
        <w:gridCol w:w="2162"/>
        <w:gridCol w:w="2208"/>
      </w:tblGrid>
      <w:tr w:rsidR="002327F2" w:rsidTr="002327F2">
        <w:trPr>
          <w:jc w:val="center"/>
        </w:trPr>
        <w:tc>
          <w:tcPr>
            <w:tcW w:w="1117" w:type="dxa"/>
          </w:tcPr>
          <w:p w:rsidR="002327F2" w:rsidRDefault="002327F2" w:rsidP="002327F2">
            <w:pPr>
              <w:tabs>
                <w:tab w:val="left" w:pos="1440"/>
                <w:tab w:val="right" w:pos="8640"/>
              </w:tabs>
              <w:jc w:val="center"/>
              <w:rPr>
                <w:rFonts w:ascii="Arial" w:hAnsi="Arial" w:cs="Arial"/>
              </w:rPr>
            </w:pPr>
            <w:r w:rsidRPr="00D72942">
              <w:rPr>
                <w:rFonts w:ascii="Arial" w:hAnsi="Arial" w:cs="Arial"/>
                <w:b/>
              </w:rPr>
              <w:t>Item No.</w:t>
            </w:r>
          </w:p>
        </w:tc>
        <w:tc>
          <w:tcPr>
            <w:tcW w:w="2162" w:type="dxa"/>
          </w:tcPr>
          <w:p w:rsidR="002327F2" w:rsidRDefault="002327F2" w:rsidP="002327F2">
            <w:pPr>
              <w:tabs>
                <w:tab w:val="left" w:pos="1440"/>
                <w:tab w:val="right" w:pos="8640"/>
              </w:tabs>
              <w:jc w:val="center"/>
              <w:rPr>
                <w:rFonts w:ascii="Arial" w:hAnsi="Arial" w:cs="Arial"/>
              </w:rPr>
            </w:pPr>
            <w:r w:rsidRPr="00D72942">
              <w:rPr>
                <w:rFonts w:ascii="Arial" w:hAnsi="Arial" w:cs="Arial"/>
                <w:b/>
              </w:rPr>
              <w:t>Item</w:t>
            </w:r>
          </w:p>
        </w:tc>
        <w:tc>
          <w:tcPr>
            <w:tcW w:w="2208" w:type="dxa"/>
          </w:tcPr>
          <w:p w:rsidR="002327F2" w:rsidRDefault="002327F2" w:rsidP="002327F2">
            <w:pPr>
              <w:tabs>
                <w:tab w:val="left" w:pos="1080"/>
                <w:tab w:val="left" w:pos="2160"/>
                <w:tab w:val="left" w:pos="5400"/>
                <w:tab w:val="right" w:pos="8640"/>
              </w:tabs>
              <w:jc w:val="center"/>
              <w:rPr>
                <w:rFonts w:ascii="Arial" w:hAnsi="Arial" w:cs="Arial"/>
              </w:rPr>
            </w:pPr>
            <w:r w:rsidRPr="00D72942">
              <w:rPr>
                <w:rFonts w:ascii="Arial" w:hAnsi="Arial" w:cs="Arial"/>
                <w:b/>
              </w:rPr>
              <w:t>Pay Unit</w:t>
            </w:r>
          </w:p>
        </w:tc>
      </w:tr>
      <w:tr w:rsidR="002327F2" w:rsidTr="002327F2">
        <w:trPr>
          <w:jc w:val="center"/>
        </w:trPr>
        <w:tc>
          <w:tcPr>
            <w:tcW w:w="1117" w:type="dxa"/>
            <w:shd w:val="clear" w:color="auto" w:fill="BFBFBF" w:themeFill="background1" w:themeFillShade="BF"/>
          </w:tcPr>
          <w:p w:rsidR="002327F2" w:rsidRDefault="002327F2" w:rsidP="002327F2">
            <w:pPr>
              <w:tabs>
                <w:tab w:val="left" w:pos="1440"/>
                <w:tab w:val="right" w:pos="8640"/>
              </w:tabs>
              <w:jc w:val="center"/>
              <w:rPr>
                <w:rFonts w:ascii="Arial" w:hAnsi="Arial" w:cs="Arial"/>
              </w:rPr>
            </w:pPr>
            <w:r>
              <w:rPr>
                <w:rFonts w:ascii="Arial" w:hAnsi="Arial" w:cs="Arial"/>
              </w:rPr>
              <w:t>411</w:t>
            </w:r>
          </w:p>
        </w:tc>
        <w:tc>
          <w:tcPr>
            <w:tcW w:w="2162" w:type="dxa"/>
            <w:shd w:val="clear" w:color="auto" w:fill="BFBFBF" w:themeFill="background1" w:themeFillShade="BF"/>
          </w:tcPr>
          <w:p w:rsidR="002327F2" w:rsidRDefault="002327F2" w:rsidP="002327F2">
            <w:pPr>
              <w:tabs>
                <w:tab w:val="left" w:pos="1440"/>
                <w:tab w:val="right" w:pos="8640"/>
              </w:tabs>
              <w:rPr>
                <w:rFonts w:ascii="Arial" w:hAnsi="Arial" w:cs="Arial"/>
              </w:rPr>
            </w:pPr>
            <w:r>
              <w:rPr>
                <w:rFonts w:ascii="Arial" w:hAnsi="Arial" w:cs="Arial"/>
              </w:rPr>
              <w:t>Asphalt Cement (__)*</w:t>
            </w:r>
          </w:p>
        </w:tc>
        <w:tc>
          <w:tcPr>
            <w:tcW w:w="2208" w:type="dxa"/>
            <w:shd w:val="clear" w:color="auto" w:fill="BFBFBF" w:themeFill="background1" w:themeFillShade="BF"/>
          </w:tcPr>
          <w:p w:rsidR="002327F2" w:rsidRDefault="002327F2" w:rsidP="002327F2">
            <w:pPr>
              <w:tabs>
                <w:tab w:val="left" w:pos="1080"/>
                <w:tab w:val="left" w:pos="2160"/>
                <w:tab w:val="left" w:pos="5400"/>
                <w:tab w:val="right" w:pos="8640"/>
              </w:tabs>
              <w:jc w:val="center"/>
              <w:rPr>
                <w:rFonts w:ascii="Arial" w:hAnsi="Arial" w:cs="Arial"/>
              </w:rPr>
            </w:pPr>
            <w:r>
              <w:rPr>
                <w:rFonts w:ascii="Arial" w:hAnsi="Arial" w:cs="Arial"/>
              </w:rPr>
              <w:t>Ton</w:t>
            </w:r>
          </w:p>
        </w:tc>
      </w:tr>
      <w:tr w:rsidR="002327F2" w:rsidTr="002327F2">
        <w:trPr>
          <w:jc w:val="center"/>
        </w:trPr>
        <w:tc>
          <w:tcPr>
            <w:tcW w:w="5487" w:type="dxa"/>
            <w:gridSpan w:val="3"/>
          </w:tcPr>
          <w:p w:rsidR="002327F2" w:rsidRDefault="002327F2" w:rsidP="009E207F">
            <w:pPr>
              <w:tabs>
                <w:tab w:val="left" w:pos="1440"/>
                <w:tab w:val="right" w:pos="8640"/>
              </w:tabs>
              <w:rPr>
                <w:rFonts w:ascii="Arial" w:hAnsi="Arial" w:cs="Arial"/>
              </w:rPr>
            </w:pPr>
            <w:r w:rsidRPr="002327F2">
              <w:rPr>
                <w:rFonts w:ascii="Arial" w:hAnsi="Arial" w:cs="Arial"/>
              </w:rPr>
              <w:t>*</w:t>
            </w:r>
            <w:r w:rsidR="00B50D36">
              <w:rPr>
                <w:rFonts w:ascii="Arial" w:hAnsi="Arial" w:cs="Arial"/>
              </w:rPr>
              <w:t xml:space="preserve">Asphalt cement used with </w:t>
            </w:r>
            <w:r w:rsidR="009E207F">
              <w:rPr>
                <w:rFonts w:ascii="Arial" w:hAnsi="Arial" w:cs="Arial"/>
              </w:rPr>
              <w:t>HMA</w:t>
            </w:r>
            <w:r w:rsidRPr="002327F2">
              <w:rPr>
                <w:rFonts w:ascii="Arial" w:hAnsi="Arial" w:cs="Arial"/>
              </w:rPr>
              <w:t xml:space="preserve"> (Patching) is not subject to </w:t>
            </w:r>
            <w:r>
              <w:rPr>
                <w:rFonts w:ascii="Arial" w:hAnsi="Arial" w:cs="Arial"/>
              </w:rPr>
              <w:t>asphalt</w:t>
            </w:r>
            <w:r w:rsidRPr="002327F2">
              <w:rPr>
                <w:rFonts w:ascii="Arial" w:hAnsi="Arial" w:cs="Arial"/>
              </w:rPr>
              <w:t xml:space="preserve"> cost adjustment.</w:t>
            </w:r>
          </w:p>
        </w:tc>
      </w:tr>
    </w:tbl>
    <w:p w:rsidR="004E4C50" w:rsidRDefault="004E4C50" w:rsidP="00B96C82">
      <w:pPr>
        <w:tabs>
          <w:tab w:val="left" w:pos="1440"/>
          <w:tab w:val="right" w:pos="8640"/>
        </w:tabs>
        <w:ind w:left="1008"/>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 xml:space="preserve">A cost adjustment will be made only when the asphalt cement price index varies by more than 5 percent from the asphalt cement price index at the time of bid, and only for that portion of the variance in excess of 5 percent.  Cost adjustments may be either positive or negative dollar amounts.  </w:t>
      </w:r>
    </w:p>
    <w:p w:rsidR="004E4C50" w:rsidRDefault="004E4C50" w:rsidP="00B96C82">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Asphalt cement price adjustments will not be made for any partial estimate falling wholly after the expiration of contract time.</w:t>
      </w:r>
    </w:p>
    <w:p w:rsidR="004E4C50" w:rsidRDefault="004E4C50" w:rsidP="00B96C82">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spacing w:after="120"/>
        <w:rPr>
          <w:rFonts w:ascii="Arial" w:hAnsi="Arial" w:cs="Arial"/>
        </w:rPr>
      </w:pPr>
      <w:r>
        <w:rPr>
          <w:rFonts w:ascii="Arial" w:hAnsi="Arial" w:cs="Arial"/>
        </w:rPr>
        <w:t>Adjustment formula:</w:t>
      </w:r>
    </w:p>
    <w:p w:rsidR="004E4C50" w:rsidRDefault="004E4C50" w:rsidP="001C40D8">
      <w:pPr>
        <w:tabs>
          <w:tab w:val="left" w:pos="1080"/>
          <w:tab w:val="right" w:pos="8640"/>
        </w:tabs>
        <w:spacing w:after="120"/>
        <w:ind w:left="1080"/>
        <w:rPr>
          <w:rFonts w:ascii="Arial" w:hAnsi="Arial" w:cs="Arial"/>
        </w:rPr>
      </w:pPr>
      <w:r>
        <w:rPr>
          <w:rFonts w:ascii="Arial" w:hAnsi="Arial" w:cs="Arial"/>
        </w:rPr>
        <w:t>EP greater than BP:</w:t>
      </w:r>
    </w:p>
    <w:p w:rsidR="004E4C50" w:rsidRDefault="004E4C50" w:rsidP="001C40D8">
      <w:pPr>
        <w:tabs>
          <w:tab w:val="left" w:pos="1080"/>
          <w:tab w:val="left" w:pos="1440"/>
          <w:tab w:val="right" w:pos="8640"/>
        </w:tabs>
        <w:spacing w:after="120"/>
        <w:ind w:left="1627"/>
        <w:rPr>
          <w:rFonts w:ascii="Arial" w:hAnsi="Arial" w:cs="Arial"/>
        </w:rPr>
      </w:pPr>
      <w:r>
        <w:rPr>
          <w:rFonts w:ascii="Arial" w:hAnsi="Arial" w:cs="Arial"/>
        </w:rPr>
        <w:t>ACCA = (EP – 1.05 BP) (Q)</w:t>
      </w:r>
    </w:p>
    <w:p w:rsidR="004E4C50" w:rsidRDefault="004E4C50" w:rsidP="001C40D8">
      <w:pPr>
        <w:tabs>
          <w:tab w:val="left" w:pos="1080"/>
          <w:tab w:val="right" w:pos="8640"/>
        </w:tabs>
        <w:spacing w:after="120"/>
        <w:ind w:left="1080"/>
        <w:rPr>
          <w:rFonts w:ascii="Arial" w:hAnsi="Arial" w:cs="Arial"/>
        </w:rPr>
      </w:pPr>
      <w:r>
        <w:rPr>
          <w:rFonts w:ascii="Arial" w:hAnsi="Arial" w:cs="Arial"/>
        </w:rPr>
        <w:t>EP less than BP:</w:t>
      </w:r>
    </w:p>
    <w:p w:rsidR="004E4C50" w:rsidRDefault="004E4C50" w:rsidP="001C40D8">
      <w:pPr>
        <w:tabs>
          <w:tab w:val="left" w:pos="1080"/>
          <w:tab w:val="left" w:pos="1440"/>
          <w:tab w:val="right" w:pos="8640"/>
        </w:tabs>
        <w:spacing w:after="120"/>
        <w:ind w:left="1627"/>
        <w:rPr>
          <w:rFonts w:ascii="Arial" w:hAnsi="Arial" w:cs="Arial"/>
        </w:rPr>
      </w:pPr>
      <w:r>
        <w:rPr>
          <w:rFonts w:ascii="Arial" w:hAnsi="Arial" w:cs="Arial"/>
        </w:rPr>
        <w:t>ACCA = (EP – 0.95 BP) (Q)</w:t>
      </w:r>
    </w:p>
    <w:p w:rsidR="004E4C50" w:rsidRPr="00CA3E65" w:rsidRDefault="004E4C50" w:rsidP="001C40D8">
      <w:pPr>
        <w:tabs>
          <w:tab w:val="left" w:pos="1080"/>
          <w:tab w:val="right" w:pos="8640"/>
        </w:tabs>
        <w:spacing w:after="120"/>
        <w:ind w:left="1080"/>
        <w:rPr>
          <w:rFonts w:ascii="Arial" w:hAnsi="Arial" w:cs="Arial"/>
        </w:rPr>
      </w:pPr>
      <w:r w:rsidRPr="00CA3E65">
        <w:rPr>
          <w:rFonts w:ascii="Arial" w:hAnsi="Arial" w:cs="Arial"/>
        </w:rPr>
        <w:t>Where:</w:t>
      </w:r>
    </w:p>
    <w:p w:rsidR="004E4C50" w:rsidRPr="00CA3E65" w:rsidRDefault="004E4C50" w:rsidP="001C40D8">
      <w:pPr>
        <w:tabs>
          <w:tab w:val="left" w:pos="2070"/>
          <w:tab w:val="left" w:pos="2340"/>
        </w:tabs>
        <w:spacing w:after="60"/>
        <w:ind w:left="2347" w:hanging="907"/>
        <w:rPr>
          <w:rFonts w:ascii="Arial" w:hAnsi="Arial" w:cs="Arial"/>
        </w:rPr>
      </w:pPr>
      <w:r w:rsidRPr="00CA3E65">
        <w:rPr>
          <w:rFonts w:ascii="Arial" w:hAnsi="Arial" w:cs="Arial"/>
        </w:rPr>
        <w:t xml:space="preserve">BP </w:t>
      </w:r>
      <w:r>
        <w:rPr>
          <w:rFonts w:ascii="Arial" w:hAnsi="Arial" w:cs="Arial"/>
        </w:rPr>
        <w:tab/>
      </w:r>
      <w:r w:rsidRPr="00CA3E65">
        <w:rPr>
          <w:rFonts w:ascii="Arial" w:hAnsi="Arial" w:cs="Arial"/>
        </w:rPr>
        <w:t>=</w:t>
      </w:r>
      <w:r>
        <w:rPr>
          <w:rFonts w:ascii="Arial" w:hAnsi="Arial" w:cs="Arial"/>
        </w:rPr>
        <w:tab/>
      </w:r>
      <w:r w:rsidRPr="00CA3E65">
        <w:rPr>
          <w:rFonts w:ascii="Arial" w:hAnsi="Arial" w:cs="Arial"/>
        </w:rPr>
        <w:t xml:space="preserve">Average Asphalt Cement price index for the </w:t>
      </w:r>
      <w:r>
        <w:rPr>
          <w:rFonts w:ascii="Arial" w:hAnsi="Arial" w:cs="Arial"/>
        </w:rPr>
        <w:t xml:space="preserve">calendar </w:t>
      </w:r>
      <w:r w:rsidRPr="00CA3E65">
        <w:rPr>
          <w:rFonts w:ascii="Arial" w:hAnsi="Arial" w:cs="Arial"/>
        </w:rPr>
        <w:t xml:space="preserve">month prior to the </w:t>
      </w:r>
      <w:r>
        <w:rPr>
          <w:rFonts w:ascii="Arial" w:hAnsi="Arial" w:cs="Arial"/>
        </w:rPr>
        <w:t xml:space="preserve">calendar </w:t>
      </w:r>
      <w:r w:rsidRPr="00CA3E65">
        <w:rPr>
          <w:rFonts w:ascii="Arial" w:hAnsi="Arial" w:cs="Arial"/>
        </w:rPr>
        <w:t>month in which bids are opened.</w:t>
      </w:r>
    </w:p>
    <w:p w:rsidR="004E4C50" w:rsidRPr="00CA3E65" w:rsidRDefault="004E4C50" w:rsidP="005449BC">
      <w:pPr>
        <w:shd w:val="clear" w:color="auto" w:fill="D9D9D9"/>
        <w:tabs>
          <w:tab w:val="left" w:pos="2070"/>
          <w:tab w:val="left" w:pos="2340"/>
        </w:tabs>
        <w:spacing w:after="60"/>
        <w:ind w:left="2347" w:hanging="907"/>
        <w:rPr>
          <w:rFonts w:ascii="Arial" w:hAnsi="Arial" w:cs="Arial"/>
        </w:rPr>
      </w:pPr>
      <w:r w:rsidRPr="00CA3E65">
        <w:rPr>
          <w:rFonts w:ascii="Arial" w:hAnsi="Arial" w:cs="Arial"/>
        </w:rPr>
        <w:t xml:space="preserve">EP </w:t>
      </w:r>
      <w:r>
        <w:rPr>
          <w:rFonts w:ascii="Arial" w:hAnsi="Arial" w:cs="Arial"/>
        </w:rPr>
        <w:tab/>
      </w:r>
      <w:r w:rsidRPr="00CA3E65">
        <w:rPr>
          <w:rFonts w:ascii="Arial" w:hAnsi="Arial" w:cs="Arial"/>
        </w:rPr>
        <w:t>=</w:t>
      </w:r>
      <w:r>
        <w:rPr>
          <w:rFonts w:ascii="Arial" w:hAnsi="Arial" w:cs="Arial"/>
        </w:rPr>
        <w:tab/>
      </w:r>
      <w:r w:rsidRPr="00CA3E65">
        <w:rPr>
          <w:rFonts w:ascii="Arial" w:hAnsi="Arial" w:cs="Arial"/>
        </w:rPr>
        <w:t xml:space="preserve">Average Asphalt Cement price index for the </w:t>
      </w:r>
      <w:r>
        <w:rPr>
          <w:rFonts w:ascii="Arial" w:hAnsi="Arial" w:cs="Arial"/>
        </w:rPr>
        <w:t xml:space="preserve">calendar </w:t>
      </w:r>
      <w:r w:rsidRPr="00CA3E65">
        <w:rPr>
          <w:rFonts w:ascii="Arial" w:hAnsi="Arial" w:cs="Arial"/>
        </w:rPr>
        <w:t xml:space="preserve">month prior to the </w:t>
      </w:r>
      <w:r>
        <w:rPr>
          <w:rFonts w:ascii="Arial" w:hAnsi="Arial" w:cs="Arial"/>
        </w:rPr>
        <w:t xml:space="preserve">calendar </w:t>
      </w:r>
      <w:r w:rsidRPr="00CA3E65">
        <w:rPr>
          <w:rFonts w:ascii="Arial" w:hAnsi="Arial" w:cs="Arial"/>
        </w:rPr>
        <w:t>month in which the partial estimate pay period ends.</w:t>
      </w:r>
    </w:p>
    <w:p w:rsidR="004E4C50" w:rsidRPr="00CA3E65" w:rsidRDefault="004E4C50" w:rsidP="001C40D8">
      <w:pPr>
        <w:tabs>
          <w:tab w:val="left" w:pos="2070"/>
          <w:tab w:val="left" w:pos="2340"/>
        </w:tabs>
        <w:spacing w:after="60"/>
        <w:ind w:left="2347" w:hanging="907"/>
        <w:rPr>
          <w:rFonts w:ascii="Arial" w:hAnsi="Arial" w:cs="Arial"/>
        </w:rPr>
      </w:pPr>
      <w:r w:rsidRPr="00CA3E65">
        <w:rPr>
          <w:rFonts w:ascii="Arial" w:hAnsi="Arial" w:cs="Arial"/>
        </w:rPr>
        <w:t xml:space="preserve">ACCA </w:t>
      </w:r>
      <w:r>
        <w:rPr>
          <w:rFonts w:ascii="Arial" w:hAnsi="Arial" w:cs="Arial"/>
        </w:rPr>
        <w:tab/>
      </w:r>
      <w:r w:rsidRPr="00CA3E65">
        <w:rPr>
          <w:rFonts w:ascii="Arial" w:hAnsi="Arial" w:cs="Arial"/>
        </w:rPr>
        <w:t xml:space="preserve">= </w:t>
      </w:r>
      <w:r>
        <w:rPr>
          <w:rFonts w:ascii="Arial" w:hAnsi="Arial" w:cs="Arial"/>
        </w:rPr>
        <w:tab/>
      </w:r>
      <w:r w:rsidRPr="00CA3E65">
        <w:rPr>
          <w:rFonts w:ascii="Arial" w:hAnsi="Arial" w:cs="Arial"/>
        </w:rPr>
        <w:t xml:space="preserve">Asphalt Cement Cost Adjustment. </w:t>
      </w:r>
    </w:p>
    <w:p w:rsidR="001237A2" w:rsidRDefault="001237A2">
      <w:pPr>
        <w:rPr>
          <w:rFonts w:ascii="Arial" w:hAnsi="Arial" w:cs="Arial"/>
        </w:rPr>
      </w:pPr>
      <w:r>
        <w:rPr>
          <w:rFonts w:ascii="Arial" w:hAnsi="Arial" w:cs="Arial"/>
        </w:rPr>
        <w:br w:type="page"/>
      </w:r>
    </w:p>
    <w:p w:rsidR="004E4C50" w:rsidRDefault="001237A2" w:rsidP="005449BC">
      <w:pPr>
        <w:tabs>
          <w:tab w:val="left" w:pos="2340"/>
        </w:tabs>
        <w:ind w:left="2340" w:hanging="1080"/>
        <w:jc w:val="right"/>
      </w:pPr>
      <w:r>
        <w:rPr>
          <w:rFonts w:ascii="Arial" w:hAnsi="Arial" w:cs="Arial"/>
        </w:rPr>
        <w:lastRenderedPageBreak/>
        <w:t xml:space="preserve">October </w:t>
      </w:r>
      <w:r w:rsidR="00E814E8">
        <w:rPr>
          <w:rFonts w:ascii="Arial" w:hAnsi="Arial" w:cs="Arial"/>
        </w:rPr>
        <w:t>21</w:t>
      </w:r>
      <w:r>
        <w:rPr>
          <w:rFonts w:ascii="Arial" w:hAnsi="Arial" w:cs="Arial"/>
        </w:rPr>
        <w:t>, 2010</w:t>
      </w:r>
    </w:p>
    <w:p w:rsidR="004E4C50" w:rsidRDefault="004E4C50" w:rsidP="005449BC">
      <w:pPr>
        <w:pStyle w:val="Title"/>
        <w:rPr>
          <w:rFonts w:ascii="Arial" w:hAnsi="Arial" w:cs="Arial"/>
          <w:b w:val="0"/>
          <w:bCs/>
          <w:sz w:val="20"/>
        </w:rPr>
      </w:pPr>
      <w:r>
        <w:rPr>
          <w:rFonts w:ascii="Arial" w:hAnsi="Arial" w:cs="Arial"/>
          <w:b w:val="0"/>
          <w:bCs/>
          <w:sz w:val="20"/>
        </w:rPr>
        <w:t>2</w:t>
      </w:r>
    </w:p>
    <w:p w:rsidR="004E4C50" w:rsidRDefault="004E4C50" w:rsidP="005449BC">
      <w:pPr>
        <w:pStyle w:val="Title"/>
        <w:rPr>
          <w:rFonts w:ascii="Arial" w:hAnsi="Arial" w:cs="Arial"/>
          <w:b w:val="0"/>
          <w:bCs/>
          <w:sz w:val="20"/>
        </w:rPr>
      </w:pPr>
      <w:r>
        <w:rPr>
          <w:rFonts w:ascii="Arial" w:hAnsi="Arial" w:cs="Arial"/>
          <w:b w:val="0"/>
          <w:bCs/>
          <w:sz w:val="20"/>
        </w:rPr>
        <w:t>REVISION OF SECTION 109</w:t>
      </w:r>
    </w:p>
    <w:p w:rsidR="004E4C50" w:rsidRDefault="004E4C50" w:rsidP="005449BC">
      <w:pPr>
        <w:pStyle w:val="Title"/>
        <w:rPr>
          <w:rFonts w:ascii="Arial" w:hAnsi="Arial" w:cs="Arial"/>
          <w:b w:val="0"/>
          <w:bCs/>
          <w:sz w:val="20"/>
        </w:rPr>
      </w:pPr>
      <w:r>
        <w:rPr>
          <w:rFonts w:ascii="Arial" w:hAnsi="Arial" w:cs="Arial"/>
          <w:b w:val="0"/>
          <w:bCs/>
          <w:sz w:val="20"/>
        </w:rPr>
        <w:t xml:space="preserve">ASPHALT CEMENT COST ADJUSTMENT </w:t>
      </w:r>
    </w:p>
    <w:p w:rsidR="004E4C50" w:rsidRDefault="004E4C50" w:rsidP="005449BC">
      <w:pPr>
        <w:pStyle w:val="Title"/>
        <w:rPr>
          <w:rFonts w:ascii="Arial" w:hAnsi="Arial" w:cs="Arial"/>
          <w:b w:val="0"/>
          <w:bCs/>
          <w:sz w:val="20"/>
        </w:rPr>
      </w:pPr>
      <w:r>
        <w:rPr>
          <w:rFonts w:ascii="Arial" w:hAnsi="Arial" w:cs="Arial"/>
          <w:b w:val="0"/>
          <w:bCs/>
          <w:sz w:val="20"/>
        </w:rPr>
        <w:t xml:space="preserve">(ASPHALT CEMENT PAID SEPARATELY) </w:t>
      </w:r>
    </w:p>
    <w:p w:rsidR="004E4C50" w:rsidRDefault="004E4C50" w:rsidP="005449BC">
      <w:pPr>
        <w:tabs>
          <w:tab w:val="left" w:pos="1440"/>
          <w:tab w:val="right" w:pos="8640"/>
        </w:tabs>
        <w:ind w:left="1008"/>
        <w:rPr>
          <w:rFonts w:ascii="Arial" w:hAnsi="Arial" w:cs="Arial"/>
        </w:rPr>
      </w:pPr>
    </w:p>
    <w:p w:rsidR="004E4C50" w:rsidRDefault="004E4C50" w:rsidP="005449BC">
      <w:pPr>
        <w:shd w:val="clear" w:color="auto" w:fill="D9D9D9"/>
        <w:tabs>
          <w:tab w:val="left" w:pos="2070"/>
          <w:tab w:val="left" w:pos="2340"/>
        </w:tabs>
        <w:ind w:left="2340" w:hanging="900"/>
        <w:rPr>
          <w:rFonts w:ascii="Arial" w:hAnsi="Arial" w:cs="Arial"/>
        </w:rPr>
      </w:pPr>
      <w:r w:rsidRPr="00CA3E65">
        <w:rPr>
          <w:rFonts w:ascii="Arial" w:hAnsi="Arial" w:cs="Arial"/>
        </w:rPr>
        <w:t xml:space="preserve">Q  </w:t>
      </w:r>
      <w:r>
        <w:rPr>
          <w:rFonts w:ascii="Arial" w:hAnsi="Arial" w:cs="Arial"/>
        </w:rPr>
        <w:tab/>
      </w:r>
      <w:r w:rsidRPr="00CA3E65">
        <w:rPr>
          <w:rFonts w:ascii="Arial" w:hAnsi="Arial" w:cs="Arial"/>
        </w:rPr>
        <w:t xml:space="preserve">= </w:t>
      </w:r>
      <w:r>
        <w:rPr>
          <w:rFonts w:ascii="Arial" w:hAnsi="Arial" w:cs="Arial"/>
        </w:rPr>
        <w:tab/>
      </w:r>
      <w:r w:rsidRPr="00CA3E65">
        <w:rPr>
          <w:rFonts w:ascii="Arial" w:hAnsi="Arial" w:cs="Arial"/>
        </w:rPr>
        <w:t xml:space="preserve">Increased pay quantity for 411 item shown above on the monthly partial pay estimate in Tons. </w:t>
      </w:r>
    </w:p>
    <w:p w:rsidR="004E4C50" w:rsidRPr="00CA3E65" w:rsidRDefault="004E4C50" w:rsidP="00CA3E65">
      <w:pPr>
        <w:tabs>
          <w:tab w:val="left" w:pos="2070"/>
          <w:tab w:val="left" w:pos="2340"/>
        </w:tabs>
        <w:ind w:left="2340" w:hanging="900"/>
        <w:rPr>
          <w:rFonts w:ascii="Arial" w:hAnsi="Arial" w:cs="Arial"/>
        </w:rPr>
      </w:pPr>
    </w:p>
    <w:p w:rsidR="004E4C50" w:rsidRPr="0091034E" w:rsidRDefault="004E4C50" w:rsidP="00786819">
      <w:pPr>
        <w:pBdr>
          <w:top w:val="single" w:sz="8" w:space="1" w:color="auto"/>
          <w:left w:val="single" w:sz="8" w:space="4" w:color="auto"/>
          <w:bottom w:val="single" w:sz="8" w:space="1" w:color="auto"/>
          <w:right w:val="single" w:sz="8" w:space="4" w:color="auto"/>
        </w:pBdr>
        <w:tabs>
          <w:tab w:val="left" w:pos="2340"/>
        </w:tabs>
        <w:ind w:left="2340" w:hanging="1080"/>
        <w:rPr>
          <w:rFonts w:ascii="Arial" w:hAnsi="Arial" w:cs="Arial"/>
        </w:rPr>
      </w:pPr>
      <w:r>
        <w:rPr>
          <w:rFonts w:ascii="Arial" w:hAnsi="Arial" w:cs="Arial"/>
        </w:rPr>
        <w:t>Example:</w:t>
      </w:r>
      <w:r>
        <w:rPr>
          <w:rFonts w:ascii="Arial" w:hAnsi="Arial" w:cs="Arial"/>
        </w:rPr>
        <w:tab/>
      </w:r>
      <w:r w:rsidRPr="0091034E">
        <w:rPr>
          <w:rFonts w:ascii="Arial" w:hAnsi="Arial" w:cs="Arial"/>
        </w:rPr>
        <w:t>Bids are opened on July 16.  The BP will be the average of the daily postings for June 1 through June 30.  For an estimate cut-off date selected by the Contractor at the Pre-Construction Conference of the 20</w:t>
      </w:r>
      <w:r w:rsidRPr="0091034E">
        <w:rPr>
          <w:rFonts w:ascii="Arial" w:hAnsi="Arial" w:cs="Arial"/>
          <w:vertAlign w:val="superscript"/>
        </w:rPr>
        <w:t>th</w:t>
      </w:r>
      <w:r w:rsidRPr="0091034E">
        <w:rPr>
          <w:rFonts w:ascii="Arial" w:hAnsi="Arial" w:cs="Arial"/>
        </w:rPr>
        <w:t xml:space="preserve"> of the month a February estimate will include HMA quantities measured from the 21</w:t>
      </w:r>
      <w:r w:rsidRPr="0091034E">
        <w:rPr>
          <w:rFonts w:ascii="Arial" w:hAnsi="Arial" w:cs="Arial"/>
          <w:vertAlign w:val="superscript"/>
        </w:rPr>
        <w:t>st</w:t>
      </w:r>
      <w:r w:rsidRPr="0091034E">
        <w:rPr>
          <w:rFonts w:ascii="Arial" w:hAnsi="Arial" w:cs="Arial"/>
        </w:rPr>
        <w:t xml:space="preserve"> of January through the 20</w:t>
      </w:r>
      <w:r w:rsidRPr="0091034E">
        <w:rPr>
          <w:rFonts w:ascii="Arial" w:hAnsi="Arial" w:cs="Arial"/>
          <w:vertAlign w:val="superscript"/>
        </w:rPr>
        <w:t>th</w:t>
      </w:r>
      <w:r w:rsidRPr="0091034E">
        <w:rPr>
          <w:rFonts w:ascii="Arial" w:hAnsi="Arial" w:cs="Arial"/>
        </w:rPr>
        <w:t xml:space="preserve"> of February, and the EP index used to calculate ACCA will be the average of the daily postings for January 1 through January 31 as established by CDOT)</w:t>
      </w:r>
    </w:p>
    <w:p w:rsidR="004E4C50" w:rsidRDefault="004E4C50" w:rsidP="00B55B28">
      <w:pPr>
        <w:tabs>
          <w:tab w:val="left" w:pos="1080"/>
          <w:tab w:val="left" w:pos="1440"/>
          <w:tab w:val="right" w:pos="8640"/>
        </w:tabs>
        <w:ind w:left="1980"/>
      </w:pPr>
    </w:p>
    <w:p w:rsidR="004E4C50" w:rsidRDefault="004E4C50" w:rsidP="004E4C50">
      <w:pPr>
        <w:numPr>
          <w:ilvl w:val="0"/>
          <w:numId w:val="7"/>
        </w:numPr>
        <w:tabs>
          <w:tab w:val="left" w:pos="1440"/>
          <w:tab w:val="right" w:pos="8640"/>
        </w:tabs>
        <w:rPr>
          <w:rFonts w:ascii="Arial" w:hAnsi="Arial" w:cs="Arial"/>
        </w:rPr>
      </w:pPr>
      <w:r>
        <w:rPr>
          <w:rFonts w:ascii="Arial" w:hAnsi="Arial" w:cs="Arial"/>
        </w:rPr>
        <w:t>Cost adjustments will not be made for the quantity of any item that is left in place at no pay or for material removed and replaced at the Contractor’s expense.</w:t>
      </w:r>
    </w:p>
    <w:p w:rsidR="005E521D" w:rsidRDefault="005E521D">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Cost adjustments will not be made to items of work added to the Contract by Change Order after the award of the Contract.</w:t>
      </w:r>
    </w:p>
    <w:p w:rsidR="004E4C50" w:rsidRDefault="004E4C50" w:rsidP="00B96C82">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The asphalt cement cost adjustment will be the sum of the individual adjustments for each of the pay items shown above.  No adjustment will be made for asphalt cement costs on items other than those shown above.</w:t>
      </w:r>
    </w:p>
    <w:p w:rsidR="004E4C50" w:rsidRDefault="004E4C50" w:rsidP="00B96C82">
      <w:pPr>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p w:rsidR="004E4C50" w:rsidRDefault="004E4C50" w:rsidP="00B96C82">
      <w:pPr>
        <w:ind w:left="720"/>
        <w:rPr>
          <w:rFonts w:ascii="Arial" w:hAnsi="Arial" w:cs="Arial"/>
        </w:rPr>
      </w:pPr>
    </w:p>
    <w:p w:rsidR="004E4C50" w:rsidRDefault="004E4C50" w:rsidP="00B96C82">
      <w:pPr>
        <w:ind w:left="360"/>
        <w:rPr>
          <w:rFonts w:ascii="Arial" w:hAnsi="Arial" w:cs="Arial"/>
        </w:rPr>
      </w:pPr>
    </w:p>
    <w:p w:rsidR="004E4C50" w:rsidRDefault="004E4C50" w:rsidP="00B96C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4E4C50" w:rsidRDefault="004E4C50"/>
    <w:p w:rsidR="00AA36CC" w:rsidRDefault="00AA36CC" w:rsidP="003C3F1C">
      <w:pPr>
        <w:rPr>
          <w:sz w:val="22"/>
        </w:rPr>
      </w:pPr>
    </w:p>
    <w:sectPr w:rsidR="00AA36CC" w:rsidSect="007C02AE">
      <w:headerReference w:type="default" r:id="rId10"/>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2C" w:rsidRDefault="0013722C" w:rsidP="00F878BD">
      <w:r>
        <w:separator/>
      </w:r>
    </w:p>
  </w:endnote>
  <w:endnote w:type="continuationSeparator" w:id="0">
    <w:p w:rsidR="0013722C" w:rsidRDefault="0013722C"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2C" w:rsidRDefault="0013722C" w:rsidP="00F878BD">
      <w:r>
        <w:separator/>
      </w:r>
    </w:p>
  </w:footnote>
  <w:footnote w:type="continuationSeparator" w:id="0">
    <w:p w:rsidR="0013722C" w:rsidRDefault="0013722C"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7331AFA"/>
    <w:multiLevelType w:val="hybridMultilevel"/>
    <w:tmpl w:val="5726E260"/>
    <w:lvl w:ilvl="0" w:tplc="89C02A68">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4C5096C"/>
    <w:multiLevelType w:val="multilevel"/>
    <w:tmpl w:val="629A388C"/>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224"/>
        </w:tabs>
        <w:ind w:left="1224" w:hanging="504"/>
      </w:pPr>
      <w:rPr>
        <w:rFonts w:ascii="Arial" w:hAnsi="Arial" w:cs="Times New Roman" w:hint="default"/>
        <w:b w:val="0"/>
        <w:i w:val="0"/>
        <w:sz w:val="20"/>
        <w:szCs w:val="20"/>
      </w:rPr>
    </w:lvl>
    <w:lvl w:ilvl="2">
      <w:start w:val="1"/>
      <w:numFmt w:val="none"/>
      <w:lvlText w:val="(a)"/>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60A55CE3"/>
    <w:multiLevelType w:val="hybridMultilevel"/>
    <w:tmpl w:val="850CA3D6"/>
    <w:name w:val="WW8Num4"/>
    <w:lvl w:ilvl="0" w:tplc="B4522F74">
      <w:start w:val="9"/>
      <w:numFmt w:val="lowerLetter"/>
      <w:lvlText w:val="(%1)"/>
      <w:lvlJc w:val="left"/>
      <w:pPr>
        <w:tabs>
          <w:tab w:val="num" w:pos="432"/>
        </w:tabs>
        <w:ind w:left="432" w:hanging="432"/>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905263"/>
    <w:multiLevelType w:val="hybridMultilevel"/>
    <w:tmpl w:val="F04AD442"/>
    <w:lvl w:ilvl="0" w:tplc="BB46DAB4">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43C89"/>
    <w:rsid w:val="00060383"/>
    <w:rsid w:val="000A0224"/>
    <w:rsid w:val="00121256"/>
    <w:rsid w:val="001237A2"/>
    <w:rsid w:val="0013722C"/>
    <w:rsid w:val="001B1B3C"/>
    <w:rsid w:val="001C3F85"/>
    <w:rsid w:val="00200C62"/>
    <w:rsid w:val="002327F2"/>
    <w:rsid w:val="002A46F1"/>
    <w:rsid w:val="003C3F1C"/>
    <w:rsid w:val="004E4C50"/>
    <w:rsid w:val="005D189D"/>
    <w:rsid w:val="005E521D"/>
    <w:rsid w:val="00726A77"/>
    <w:rsid w:val="007735BF"/>
    <w:rsid w:val="007B41A1"/>
    <w:rsid w:val="007C02AE"/>
    <w:rsid w:val="00807EDD"/>
    <w:rsid w:val="00843555"/>
    <w:rsid w:val="008453E6"/>
    <w:rsid w:val="00870736"/>
    <w:rsid w:val="00973DFA"/>
    <w:rsid w:val="00987248"/>
    <w:rsid w:val="00995B83"/>
    <w:rsid w:val="009E207F"/>
    <w:rsid w:val="00A133C8"/>
    <w:rsid w:val="00A14275"/>
    <w:rsid w:val="00A76618"/>
    <w:rsid w:val="00A92397"/>
    <w:rsid w:val="00AA36CC"/>
    <w:rsid w:val="00AC7AF4"/>
    <w:rsid w:val="00B25927"/>
    <w:rsid w:val="00B50D36"/>
    <w:rsid w:val="00B51E96"/>
    <w:rsid w:val="00B91FF1"/>
    <w:rsid w:val="00D91577"/>
    <w:rsid w:val="00DE55F7"/>
    <w:rsid w:val="00E814E8"/>
    <w:rsid w:val="00E85CC9"/>
    <w:rsid w:val="00EA7A41"/>
    <w:rsid w:val="00EE4A2A"/>
    <w:rsid w:val="00EF1243"/>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6F1"/>
  </w:style>
  <w:style w:type="paragraph" w:styleId="Heading1">
    <w:name w:val="heading 1"/>
    <w:basedOn w:val="Normal"/>
    <w:next w:val="Normal"/>
    <w:qFormat/>
    <w:rsid w:val="002A46F1"/>
    <w:pPr>
      <w:keepNext/>
      <w:jc w:val="center"/>
      <w:outlineLvl w:val="0"/>
    </w:pPr>
    <w:rPr>
      <w:rFonts w:ascii="Arial" w:hAnsi="Arial"/>
      <w:b/>
    </w:rPr>
  </w:style>
  <w:style w:type="paragraph" w:styleId="Heading2">
    <w:name w:val="heading 2"/>
    <w:basedOn w:val="Normal"/>
    <w:next w:val="Normal"/>
    <w:qFormat/>
    <w:rsid w:val="002A46F1"/>
    <w:pPr>
      <w:keepNext/>
      <w:jc w:val="center"/>
      <w:outlineLvl w:val="1"/>
    </w:pPr>
    <w:rPr>
      <w:rFonts w:ascii="Arial" w:hAnsi="Arial"/>
      <w:b/>
      <w:color w:val="FFFFFF"/>
    </w:rPr>
  </w:style>
  <w:style w:type="paragraph" w:styleId="Heading3">
    <w:name w:val="heading 3"/>
    <w:basedOn w:val="Normal"/>
    <w:next w:val="Normal"/>
    <w:qFormat/>
    <w:rsid w:val="002A46F1"/>
    <w:pPr>
      <w:keepNext/>
      <w:outlineLvl w:val="2"/>
    </w:pPr>
    <w:rPr>
      <w:sz w:val="24"/>
    </w:rPr>
  </w:style>
  <w:style w:type="paragraph" w:styleId="Heading4">
    <w:name w:val="heading 4"/>
    <w:basedOn w:val="Normal"/>
    <w:next w:val="Normal"/>
    <w:qFormat/>
    <w:rsid w:val="002A46F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46F1"/>
    <w:rPr>
      <w:rFonts w:ascii="Arial Narrow" w:hAnsi="Arial Narrow"/>
      <w:b/>
    </w:rPr>
  </w:style>
  <w:style w:type="paragraph" w:styleId="Title">
    <w:name w:val="Title"/>
    <w:basedOn w:val="Normal"/>
    <w:link w:val="TitleChar"/>
    <w:qFormat/>
    <w:rsid w:val="002A46F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A46F1"/>
    <w:pPr>
      <w:ind w:left="360" w:hanging="432"/>
    </w:pPr>
    <w:rPr>
      <w:rFonts w:ascii="Arial" w:hAnsi="Arial"/>
    </w:rPr>
  </w:style>
  <w:style w:type="paragraph" w:styleId="BodyTextIndent">
    <w:name w:val="Body Text Indent"/>
    <w:basedOn w:val="Normal"/>
    <w:rsid w:val="002A46F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A46F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Hyperlink">
    <w:name w:val="Hyperlink"/>
    <w:basedOn w:val="DefaultParagraphFont"/>
    <w:rsid w:val="004E4C50"/>
    <w:rPr>
      <w:rFonts w:cs="Times New Roman"/>
      <w:color w:val="0000FF"/>
      <w:u w:val="single"/>
    </w:rPr>
  </w:style>
  <w:style w:type="paragraph" w:styleId="BalloonText">
    <w:name w:val="Balloon Text"/>
    <w:basedOn w:val="Normal"/>
    <w:link w:val="BalloonTextChar"/>
    <w:rsid w:val="004E4C50"/>
    <w:rPr>
      <w:rFonts w:ascii="Tahoma" w:hAnsi="Tahoma" w:cs="Tahoma"/>
      <w:sz w:val="16"/>
      <w:szCs w:val="16"/>
    </w:rPr>
  </w:style>
  <w:style w:type="character" w:customStyle="1" w:styleId="BalloonTextChar">
    <w:name w:val="Balloon Text Char"/>
    <w:basedOn w:val="DefaultParagraphFont"/>
    <w:link w:val="BalloonText"/>
    <w:rsid w:val="004E4C50"/>
    <w:rPr>
      <w:rFonts w:ascii="Tahoma" w:hAnsi="Tahoma" w:cs="Tahoma"/>
      <w:sz w:val="16"/>
      <w:szCs w:val="16"/>
    </w:rPr>
  </w:style>
  <w:style w:type="table" w:styleId="TableGrid">
    <w:name w:val="Table Grid"/>
    <w:basedOn w:val="TableNormal"/>
    <w:rsid w:val="002327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6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currency" TargetMode="External"/><Relationship Id="rId3" Type="http://schemas.openxmlformats.org/officeDocument/2006/relationships/settings" Target="settings.xml"/><Relationship Id="rId7" Type="http://schemas.openxmlformats.org/officeDocument/2006/relationships/hyperlink" Target="http://www.cenovus.com/operations/doing-business-with-us/marketing/crude-oil-pric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t.state.co.us/DesignSupport/Construction/Fuel%20Cost%20Adjustments/Cenovus/Daily_Prices/Daily_Asphalt_Cement_Cost_Adjustment_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7</cp:revision>
  <cp:lastPrinted>2000-06-16T17:28:00Z</cp:lastPrinted>
  <dcterms:created xsi:type="dcterms:W3CDTF">2010-10-08T20:44:00Z</dcterms:created>
  <dcterms:modified xsi:type="dcterms:W3CDTF">2010-10-18T17:11:00Z</dcterms:modified>
</cp:coreProperties>
</file>