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February 3, 2011</w:t>
      </w: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203</w:t>
      </w: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IMPORTED MATERIAL FOR EMBANKMENT</w:t>
      </w: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C516C5" w:rsidRDefault="00C516C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C516C5" w:rsidRDefault="00FE095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that have</w:t>
      </w:r>
      <w:r w:rsidR="00C516C5">
        <w:rPr>
          <w:sz w:val="28"/>
          <w:szCs w:val="28"/>
        </w:rPr>
        <w:t xml:space="preserve"> imported material </w:t>
      </w:r>
      <w:r>
        <w:rPr>
          <w:sz w:val="28"/>
          <w:szCs w:val="28"/>
        </w:rPr>
        <w:t>as embankment for</w:t>
      </w:r>
      <w:r w:rsidR="00C516C5">
        <w:rPr>
          <w:sz w:val="28"/>
          <w:szCs w:val="28"/>
        </w:rPr>
        <w:t xml:space="preserve"> pipes.</w:t>
      </w:r>
    </w:p>
    <w:p w:rsidR="00C516C5" w:rsidRDefault="00C516C5">
      <w:pPr>
        <w:rPr>
          <w:rFonts w:ascii="Arial" w:hAnsi="Arial" w:cs="Arial"/>
          <w:color w:val="000000"/>
        </w:rPr>
      </w:pPr>
      <w:r>
        <w:rPr>
          <w:rFonts w:ascii="Arial" w:hAnsi="Arial" w:cs="Arial"/>
          <w:color w:val="000000"/>
        </w:rPr>
        <w:br w:type="page"/>
      </w:r>
    </w:p>
    <w:p w:rsidR="00BF4BF4" w:rsidRPr="00A2725B" w:rsidRDefault="001B74E4">
      <w:pPr>
        <w:rPr>
          <w:rFonts w:ascii="Arial" w:hAnsi="Arial" w:cs="Arial"/>
          <w:color w:val="000000"/>
        </w:rPr>
      </w:pPr>
      <w:r>
        <w:rPr>
          <w:rFonts w:ascii="Arial" w:hAnsi="Arial" w:cs="Arial"/>
          <w:color w:val="000000"/>
        </w:rPr>
        <w:lastRenderedPageBreak/>
        <w:t>S</w:t>
      </w:r>
      <w:r w:rsidR="00BF4BF4" w:rsidRPr="004021DA">
        <w:rPr>
          <w:rFonts w:ascii="Arial" w:hAnsi="Arial" w:cs="Arial"/>
          <w:color w:val="000000"/>
        </w:rPr>
        <w:t>ectio</w:t>
      </w:r>
      <w:r w:rsidR="00BF4BF4" w:rsidRPr="00A2725B">
        <w:rPr>
          <w:rFonts w:ascii="Arial" w:hAnsi="Arial" w:cs="Arial"/>
          <w:color w:val="000000"/>
        </w:rPr>
        <w:t>n 203 of the Standard Specifications is hereby revised for this project as follows:</w:t>
      </w:r>
    </w:p>
    <w:p w:rsidR="00BF4BF4" w:rsidRPr="00A2725B" w:rsidRDefault="00BF4BF4">
      <w:pPr>
        <w:rPr>
          <w:rFonts w:ascii="Arial" w:hAnsi="Arial" w:cs="Arial"/>
          <w:color w:val="000000"/>
        </w:rPr>
      </w:pPr>
    </w:p>
    <w:p w:rsidR="00BF4BF4" w:rsidRDefault="00BF4BF4">
      <w:pPr>
        <w:rPr>
          <w:rFonts w:ascii="Arial" w:hAnsi="Arial" w:cs="Arial"/>
          <w:color w:val="000000"/>
        </w:rPr>
      </w:pPr>
      <w:r>
        <w:rPr>
          <w:rFonts w:ascii="Arial" w:hAnsi="Arial" w:cs="Arial"/>
          <w:color w:val="000000"/>
        </w:rPr>
        <w:t>S</w:t>
      </w:r>
      <w:r w:rsidRPr="00A2725B">
        <w:rPr>
          <w:rFonts w:ascii="Arial" w:hAnsi="Arial" w:cs="Arial"/>
          <w:color w:val="000000"/>
        </w:rPr>
        <w:t>ubsection 203.03 (a)</w:t>
      </w:r>
      <w:r>
        <w:rPr>
          <w:rFonts w:ascii="Arial" w:hAnsi="Arial" w:cs="Arial"/>
          <w:color w:val="000000"/>
        </w:rPr>
        <w:t xml:space="preserve"> shall include the following</w:t>
      </w:r>
      <w:r w:rsidRPr="00A2725B">
        <w:rPr>
          <w:rFonts w:ascii="Arial" w:hAnsi="Arial" w:cs="Arial"/>
          <w:color w:val="000000"/>
        </w:rPr>
        <w:t>:</w:t>
      </w:r>
    </w:p>
    <w:p w:rsidR="00BF4BF4" w:rsidRDefault="00BF4BF4">
      <w:pPr>
        <w:rPr>
          <w:rFonts w:ascii="Arial" w:hAnsi="Arial" w:cs="Arial"/>
          <w:color w:val="000000"/>
        </w:rPr>
      </w:pP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Imported Material used for backfilling pipes (storm sewer, cross culverts, side drains, etc) shall be tested for</w:t>
      </w:r>
      <w:r>
        <w:rPr>
          <w:rFonts w:ascii="Arial" w:hAnsi="Arial" w:cs="Arial"/>
        </w:rPr>
        <w:t xml:space="preserve"> compatibility with the selected pipe material.</w:t>
      </w: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 xml:space="preserve">When </w:t>
      </w:r>
      <w:r w:rsidR="00060FB4">
        <w:rPr>
          <w:rFonts w:ascii="Arial" w:hAnsi="Arial" w:cs="Arial"/>
        </w:rPr>
        <w:t>Nonreinforced</w:t>
      </w:r>
      <w:r>
        <w:rPr>
          <w:rFonts w:ascii="Arial" w:hAnsi="Arial" w:cs="Arial"/>
        </w:rPr>
        <w:t xml:space="preserve"> Concrete Pipe or Reinforced Concrete Pipe is used, the imported material shall be tested for sulfate </w:t>
      </w:r>
      <w:r w:rsidR="00981A95">
        <w:rPr>
          <w:rFonts w:ascii="Arial" w:hAnsi="Arial" w:cs="Arial"/>
        </w:rPr>
        <w:t>and</w:t>
      </w:r>
      <w:r>
        <w:rPr>
          <w:rFonts w:ascii="Arial" w:hAnsi="Arial" w:cs="Arial"/>
        </w:rPr>
        <w:t xml:space="preserve"> pH</w:t>
      </w: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 xml:space="preserve">When Corrugated Steel Pipe, Bituminous Coated Corrugated Steel Pipe or </w:t>
      </w:r>
      <w:r w:rsidRPr="00DA69F7">
        <w:rPr>
          <w:rFonts w:ascii="Arial" w:hAnsi="Arial" w:cs="Arial"/>
        </w:rPr>
        <w:t xml:space="preserve">Precoated Corrugated Steel Pipe </w:t>
      </w:r>
      <w:r>
        <w:rPr>
          <w:rFonts w:ascii="Arial" w:hAnsi="Arial" w:cs="Arial"/>
        </w:rPr>
        <w:t xml:space="preserve"> is used, the imported material shall be tested for sulfates, chlorides, pH and resistivity.</w:t>
      </w: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Default="00BF4BF4" w:rsidP="004E2BCB">
      <w:pPr>
        <w:tabs>
          <w:tab w:val="left" w:pos="2520"/>
          <w:tab w:val="left" w:pos="5760"/>
        </w:tabs>
        <w:spacing w:line="264" w:lineRule="auto"/>
        <w:rPr>
          <w:rFonts w:ascii="Arial" w:hAnsi="Arial" w:cs="Arial"/>
        </w:rPr>
      </w:pPr>
      <w:r>
        <w:rPr>
          <w:rFonts w:ascii="Arial" w:hAnsi="Arial" w:cs="Arial"/>
        </w:rPr>
        <w:t xml:space="preserve">When </w:t>
      </w:r>
      <w:r w:rsidRPr="00DA69F7">
        <w:rPr>
          <w:rFonts w:ascii="Arial" w:hAnsi="Arial" w:cs="Arial"/>
        </w:rPr>
        <w:t>Aramid Fiber Bonded Corrugated Steel Pipe</w:t>
      </w:r>
      <w:r>
        <w:rPr>
          <w:rFonts w:ascii="Arial" w:hAnsi="Arial" w:cs="Arial"/>
        </w:rPr>
        <w:t xml:space="preserve"> or </w:t>
      </w:r>
      <w:r w:rsidRPr="00DA69F7">
        <w:rPr>
          <w:rFonts w:ascii="Arial" w:hAnsi="Arial" w:cs="Arial"/>
        </w:rPr>
        <w:t>Corrugated Aluminum Pipe</w:t>
      </w:r>
      <w:r w:rsidRPr="00DA69F7" w:rsidDel="004E2BCB">
        <w:rPr>
          <w:rFonts w:ascii="Arial" w:hAnsi="Arial" w:cs="Arial"/>
        </w:rPr>
        <w:t xml:space="preserve"> </w:t>
      </w:r>
      <w:r>
        <w:rPr>
          <w:rFonts w:ascii="Arial" w:hAnsi="Arial" w:cs="Arial"/>
        </w:rPr>
        <w:t>is used, the imported material shall be tested for pH and resistivity.</w:t>
      </w: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 xml:space="preserve">When Plastic pipe is selected, the imported </w:t>
      </w:r>
      <w:r w:rsidR="00981A95">
        <w:rPr>
          <w:rFonts w:ascii="Arial" w:hAnsi="Arial" w:cs="Arial"/>
        </w:rPr>
        <w:t xml:space="preserve">material </w:t>
      </w:r>
      <w:r>
        <w:rPr>
          <w:rFonts w:ascii="Arial" w:hAnsi="Arial" w:cs="Arial"/>
        </w:rPr>
        <w:t>does not need to be tested for sulfates, chlorides, pH and resistivity.</w:t>
      </w: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Default="001B74E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Pr>
          <w:rFonts w:ascii="Arial" w:hAnsi="Arial" w:cs="Arial"/>
        </w:rPr>
        <w:t>Sulfates</w:t>
      </w:r>
      <w:r w:rsidR="00BF4BF4">
        <w:rPr>
          <w:rFonts w:ascii="Arial" w:hAnsi="Arial" w:cs="Arial"/>
        </w:rPr>
        <w:t>, chlorides, pH and resistivity shall be determined by the following procedures:</w:t>
      </w:r>
    </w:p>
    <w:p w:rsidR="00BF4BF4" w:rsidRPr="009F6701" w:rsidRDefault="00BF4BF4" w:rsidP="00463B66">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9F6701"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9F6701">
        <w:rPr>
          <w:rFonts w:ascii="Arial" w:hAnsi="Arial" w:cs="Arial"/>
        </w:rPr>
        <w:t xml:space="preserve">Water soluble sulfates using CP-L 2103 Method B.  </w:t>
      </w:r>
    </w:p>
    <w:p w:rsidR="00BF4BF4" w:rsidRPr="00294FCE"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Chlorides using CPL 2104</w:t>
      </w:r>
    </w:p>
    <w:p w:rsidR="00BF4BF4" w:rsidRPr="00294FCE"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Resistivity using ASTM G57</w:t>
      </w:r>
    </w:p>
    <w:p w:rsidR="00BF4BF4" w:rsidRPr="00294FCE" w:rsidRDefault="00BF4BF4" w:rsidP="00463B66">
      <w:pPr>
        <w:pStyle w:val="ListParagraph"/>
        <w:numPr>
          <w:ilvl w:val="0"/>
          <w:numId w:val="6"/>
        </w:num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 xml:space="preserve">pH using ASTM G51.  </w:t>
      </w:r>
    </w:p>
    <w:p w:rsidR="00BF4BF4"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The average of three consecutive tests shall show the</w:t>
      </w:r>
      <w:r>
        <w:rPr>
          <w:rFonts w:ascii="Arial" w:hAnsi="Arial" w:cs="Arial"/>
        </w:rPr>
        <w:t xml:space="preserve"> imported material’s sulfate, chloride, pH and resistivity is not greater than the</w:t>
      </w:r>
      <w:r w:rsidRPr="00294FCE">
        <w:rPr>
          <w:rFonts w:ascii="Arial" w:hAnsi="Arial" w:cs="Arial"/>
        </w:rPr>
        <w:t xml:space="preserve"> </w:t>
      </w:r>
      <w:r>
        <w:rPr>
          <w:rFonts w:ascii="Arial" w:hAnsi="Arial" w:cs="Arial"/>
        </w:rPr>
        <w:t>limits corresponding to the Pipe Class in Table 203-1 or 203-2</w:t>
      </w:r>
      <w:r w:rsidRPr="00FC309F">
        <w:rPr>
          <w:rFonts w:ascii="Arial" w:hAnsi="Arial" w:cs="Arial"/>
        </w:rPr>
        <w:t xml:space="preserve"> </w:t>
      </w:r>
      <w:r>
        <w:rPr>
          <w:rFonts w:ascii="Arial" w:hAnsi="Arial" w:cs="Arial"/>
        </w:rPr>
        <w:t xml:space="preserve">for the pipe class specified </w:t>
      </w:r>
      <w:r w:rsidRPr="00294FCE">
        <w:rPr>
          <w:rFonts w:ascii="Arial" w:hAnsi="Arial" w:cs="Arial"/>
        </w:rPr>
        <w:t>on the plans.  No single test shall have a result more than 20 percent greater than that corresponding to the l</w:t>
      </w:r>
      <w:r>
        <w:rPr>
          <w:rFonts w:ascii="Arial" w:hAnsi="Arial" w:cs="Arial"/>
        </w:rPr>
        <w:t>imit</w:t>
      </w:r>
      <w:r w:rsidRPr="00294FCE">
        <w:rPr>
          <w:rFonts w:ascii="Arial" w:hAnsi="Arial" w:cs="Arial"/>
        </w:rPr>
        <w:t xml:space="preserve"> </w:t>
      </w:r>
      <w:r>
        <w:rPr>
          <w:rFonts w:ascii="Arial" w:hAnsi="Arial" w:cs="Arial"/>
        </w:rPr>
        <w:t>in T</w:t>
      </w:r>
      <w:r w:rsidRPr="00294FCE">
        <w:rPr>
          <w:rFonts w:ascii="Arial" w:hAnsi="Arial" w:cs="Arial"/>
        </w:rPr>
        <w:t>able 203-</w:t>
      </w:r>
      <w:r>
        <w:rPr>
          <w:rFonts w:ascii="Arial" w:hAnsi="Arial" w:cs="Arial"/>
        </w:rPr>
        <w:t>1</w:t>
      </w:r>
      <w:r w:rsidRPr="00294FCE">
        <w:rPr>
          <w:rFonts w:ascii="Arial" w:hAnsi="Arial" w:cs="Arial"/>
        </w:rPr>
        <w:t xml:space="preserve"> </w:t>
      </w:r>
      <w:r>
        <w:rPr>
          <w:rFonts w:ascii="Arial" w:hAnsi="Arial" w:cs="Arial"/>
        </w:rPr>
        <w:t>or Table 203-2 for sulfates, chlorides and resistivity</w:t>
      </w:r>
      <w:r w:rsidRPr="00294FCE">
        <w:rPr>
          <w:rFonts w:ascii="Arial" w:hAnsi="Arial" w:cs="Arial"/>
        </w:rPr>
        <w:t>.</w:t>
      </w:r>
      <w:r>
        <w:rPr>
          <w:rFonts w:ascii="Arial" w:hAnsi="Arial" w:cs="Arial"/>
        </w:rPr>
        <w:t xml:space="preserve"> </w:t>
      </w:r>
      <w:r w:rsidRPr="00294FCE">
        <w:rPr>
          <w:rFonts w:ascii="Arial" w:hAnsi="Arial" w:cs="Arial"/>
        </w:rPr>
        <w:t xml:space="preserve">No single test shall have a result more than </w:t>
      </w:r>
      <w:r>
        <w:rPr>
          <w:rFonts w:ascii="Arial" w:hAnsi="Arial" w:cs="Arial"/>
        </w:rPr>
        <w:t>5</w:t>
      </w:r>
      <w:r w:rsidRPr="00294FCE">
        <w:rPr>
          <w:rFonts w:ascii="Arial" w:hAnsi="Arial" w:cs="Arial"/>
        </w:rPr>
        <w:t xml:space="preserve"> percent </w:t>
      </w:r>
      <w:r>
        <w:rPr>
          <w:rFonts w:ascii="Arial" w:hAnsi="Arial" w:cs="Arial"/>
        </w:rPr>
        <w:t>outside</w:t>
      </w:r>
      <w:r w:rsidRPr="00294FCE">
        <w:rPr>
          <w:rFonts w:ascii="Arial" w:hAnsi="Arial" w:cs="Arial"/>
        </w:rPr>
        <w:t xml:space="preserve"> the l</w:t>
      </w:r>
      <w:r>
        <w:rPr>
          <w:rFonts w:ascii="Arial" w:hAnsi="Arial" w:cs="Arial"/>
        </w:rPr>
        <w:t>imit</w:t>
      </w:r>
      <w:r w:rsidRPr="00294FCE">
        <w:rPr>
          <w:rFonts w:ascii="Arial" w:hAnsi="Arial" w:cs="Arial"/>
        </w:rPr>
        <w:t xml:space="preserve"> </w:t>
      </w:r>
      <w:r>
        <w:rPr>
          <w:rFonts w:ascii="Arial" w:hAnsi="Arial" w:cs="Arial"/>
        </w:rPr>
        <w:t>in T</w:t>
      </w:r>
      <w:r w:rsidRPr="00294FCE">
        <w:rPr>
          <w:rFonts w:ascii="Arial" w:hAnsi="Arial" w:cs="Arial"/>
        </w:rPr>
        <w:t>able 203-</w:t>
      </w:r>
      <w:r>
        <w:rPr>
          <w:rFonts w:ascii="Arial" w:hAnsi="Arial" w:cs="Arial"/>
        </w:rPr>
        <w:t>1 for pH.</w:t>
      </w:r>
      <w:r w:rsidRPr="00294FCE">
        <w:rPr>
          <w:rFonts w:ascii="Arial" w:hAnsi="Arial" w:cs="Arial"/>
        </w:rPr>
        <w:t xml:space="preserve">  The remaining sample material from a single failing test shall be split into </w:t>
      </w:r>
      <w:r>
        <w:rPr>
          <w:rFonts w:ascii="Arial" w:hAnsi="Arial" w:cs="Arial"/>
        </w:rPr>
        <w:t>three</w:t>
      </w:r>
      <w:r w:rsidRPr="00294FCE">
        <w:rPr>
          <w:rFonts w:ascii="Arial" w:hAnsi="Arial" w:cs="Arial"/>
        </w:rPr>
        <w:t xml:space="preserve"> equal portions.  CDOT shall receive one portion, the Contractor shall receive one portion and the remaining portion shall </w:t>
      </w:r>
      <w:r>
        <w:rPr>
          <w:rFonts w:ascii="Arial" w:hAnsi="Arial" w:cs="Arial"/>
        </w:rPr>
        <w:t>be retained by the Project</w:t>
      </w:r>
      <w:r w:rsidRPr="00294FCE">
        <w:rPr>
          <w:rFonts w:ascii="Arial" w:hAnsi="Arial" w:cs="Arial"/>
        </w:rPr>
        <w:t xml:space="preserve">.  CDOT and the Contractor’s Lab shall retest the </w:t>
      </w:r>
      <w:r>
        <w:rPr>
          <w:rFonts w:ascii="Arial" w:hAnsi="Arial" w:cs="Arial"/>
        </w:rPr>
        <w:t xml:space="preserve">failed sample;  if </w:t>
      </w:r>
      <w:r w:rsidRPr="00294FCE">
        <w:rPr>
          <w:rFonts w:ascii="Arial" w:hAnsi="Arial" w:cs="Arial"/>
        </w:rPr>
        <w:t xml:space="preserve">the results from </w:t>
      </w:r>
      <w:r>
        <w:rPr>
          <w:rFonts w:ascii="Arial" w:hAnsi="Arial" w:cs="Arial"/>
        </w:rPr>
        <w:t>those</w:t>
      </w:r>
      <w:r w:rsidRPr="00294FCE">
        <w:rPr>
          <w:rFonts w:ascii="Arial" w:hAnsi="Arial" w:cs="Arial"/>
        </w:rPr>
        <w:t xml:space="preserve"> </w:t>
      </w:r>
      <w:r>
        <w:rPr>
          <w:rFonts w:ascii="Arial" w:hAnsi="Arial" w:cs="Arial"/>
        </w:rPr>
        <w:t>tests</w:t>
      </w:r>
      <w:r w:rsidRPr="00294FCE">
        <w:rPr>
          <w:rFonts w:ascii="Arial" w:hAnsi="Arial" w:cs="Arial"/>
        </w:rPr>
        <w:t xml:space="preserve"> are within 10 percent of each other, the results will be averaged.  The averaged result will be used for Contract compliance.  If the results from the Labs are not within 10 percent of each other, the remaining sample portion will be sent to an independent laboratory for testing using the testing requirements specified above.  The independent laboratory will be mutually agreed upon by the Department and the Contractor.  The Independent Lab’s test result will be used for Contract compliance.</w:t>
      </w: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p>
    <w:p w:rsidR="00BF4BF4" w:rsidRPr="00294FCE" w:rsidRDefault="00BF4BF4" w:rsidP="00A245F2">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294FCE">
        <w:rPr>
          <w:rFonts w:ascii="Arial" w:hAnsi="Arial" w:cs="Arial"/>
        </w:rPr>
        <w:t xml:space="preserve">If the </w:t>
      </w:r>
      <w:r>
        <w:rPr>
          <w:rFonts w:ascii="Arial" w:hAnsi="Arial" w:cs="Arial"/>
        </w:rPr>
        <w:t>imported material’s sulfates, chlorides, and resistivity</w:t>
      </w:r>
      <w:r w:rsidRPr="00294FCE">
        <w:rPr>
          <w:rFonts w:ascii="Arial" w:hAnsi="Arial" w:cs="Arial"/>
        </w:rPr>
        <w:t xml:space="preserve"> </w:t>
      </w:r>
      <w:r>
        <w:rPr>
          <w:rFonts w:ascii="Arial" w:hAnsi="Arial" w:cs="Arial"/>
        </w:rPr>
        <w:t>are</w:t>
      </w:r>
      <w:r w:rsidRPr="00294FCE">
        <w:rPr>
          <w:rFonts w:ascii="Arial" w:hAnsi="Arial" w:cs="Arial"/>
        </w:rPr>
        <w:t xml:space="preserve"> less than </w:t>
      </w:r>
      <w:r>
        <w:rPr>
          <w:rFonts w:ascii="Arial" w:hAnsi="Arial" w:cs="Arial"/>
        </w:rPr>
        <w:t>the limits and the pH is within the limits in Table 203-1 or 203-2</w:t>
      </w:r>
      <w:r w:rsidRPr="00294FCE">
        <w:rPr>
          <w:rFonts w:ascii="Arial" w:hAnsi="Arial" w:cs="Arial"/>
        </w:rPr>
        <w:t xml:space="preserve">, CDOT will bear all costs associated with the independent lab test.  If the </w:t>
      </w:r>
      <w:r>
        <w:rPr>
          <w:rFonts w:ascii="Arial" w:hAnsi="Arial" w:cs="Arial"/>
        </w:rPr>
        <w:t>imported material’s sulfates, chlorides, and resistivity</w:t>
      </w:r>
      <w:r w:rsidRPr="00294FCE">
        <w:rPr>
          <w:rFonts w:ascii="Arial" w:hAnsi="Arial" w:cs="Arial"/>
        </w:rPr>
        <w:t xml:space="preserve"> is </w:t>
      </w:r>
      <w:r>
        <w:rPr>
          <w:rFonts w:ascii="Arial" w:hAnsi="Arial" w:cs="Arial"/>
        </w:rPr>
        <w:t>greater</w:t>
      </w:r>
      <w:r w:rsidRPr="00294FCE">
        <w:rPr>
          <w:rFonts w:ascii="Arial" w:hAnsi="Arial" w:cs="Arial"/>
        </w:rPr>
        <w:t xml:space="preserve"> than </w:t>
      </w:r>
      <w:r>
        <w:rPr>
          <w:rFonts w:ascii="Arial" w:hAnsi="Arial" w:cs="Arial"/>
        </w:rPr>
        <w:t>the limits and the pH is outside the limits in Table 203-1 or 203-2</w:t>
      </w:r>
      <w:r w:rsidRPr="00294FCE">
        <w:rPr>
          <w:rFonts w:ascii="Arial" w:hAnsi="Arial" w:cs="Arial"/>
        </w:rPr>
        <w:t xml:space="preserve">,, all costs associated with independent lab testing shall be at the Contractor’s expense.    </w:t>
      </w:r>
    </w:p>
    <w:p w:rsidR="00BF4BF4" w:rsidRPr="00294FCE" w:rsidRDefault="00BF4BF4" w:rsidP="00A245F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rPr>
          <w:rFonts w:ascii="Arial" w:hAnsi="Arial" w:cs="Arial"/>
        </w:rPr>
      </w:pPr>
      <w:r w:rsidRPr="00294FCE">
        <w:rPr>
          <w:rFonts w:ascii="Arial" w:hAnsi="Arial" w:cs="Arial"/>
        </w:rPr>
        <w:t xml:space="preserve">  </w:t>
      </w:r>
    </w:p>
    <w:p w:rsidR="00BF4BF4" w:rsidRDefault="00BF4BF4" w:rsidP="009F6701">
      <w:pPr>
        <w:tabs>
          <w:tab w:val="left" w:pos="-45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980"/>
        </w:tabs>
        <w:rPr>
          <w:rFonts w:ascii="Arial" w:hAnsi="Arial" w:cs="Arial"/>
        </w:rPr>
      </w:pPr>
      <w:r w:rsidRPr="009F6701">
        <w:rPr>
          <w:rFonts w:ascii="Arial" w:hAnsi="Arial" w:cs="Arial"/>
        </w:rPr>
        <w:t xml:space="preserve">Embankment represented by failing tests shall be removed from the project and replaced at the Contractor’s expense. </w:t>
      </w:r>
    </w:p>
    <w:p w:rsidR="00ED1775" w:rsidRDefault="00ED1775">
      <w:pPr>
        <w:rPr>
          <w:rFonts w:ascii="Arial" w:hAnsi="Arial" w:cs="Arial"/>
        </w:rPr>
      </w:pPr>
      <w:r>
        <w:rPr>
          <w:rFonts w:ascii="Arial" w:hAnsi="Arial" w:cs="Arial"/>
        </w:rPr>
        <w:br w:type="page"/>
      </w:r>
    </w:p>
    <w:p w:rsidR="00BF4BF4" w:rsidRPr="00294FCE" w:rsidRDefault="00BF4BF4">
      <w:pPr>
        <w:rPr>
          <w:rFonts w:ascii="Arial" w:hAnsi="Arial" w:cs="Arial"/>
        </w:rPr>
      </w:pPr>
    </w:p>
    <w:p w:rsidR="00BF4BF4" w:rsidRDefault="00BF4BF4"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r>
        <w:rPr>
          <w:rFonts w:ascii="Arial" w:hAnsi="Arial" w:cs="Arial"/>
          <w:b/>
        </w:rPr>
        <w:t>Table 203-1</w:t>
      </w:r>
    </w:p>
    <w:p w:rsidR="00BF4BF4" w:rsidRDefault="00BF4BF4"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r>
        <w:rPr>
          <w:rFonts w:ascii="Arial" w:hAnsi="Arial" w:cs="Arial"/>
          <w:b/>
        </w:rPr>
        <w:t>SULFATE, CHLORIDE AND PH OF IMPORTED MATERIAL</w:t>
      </w:r>
    </w:p>
    <w:p w:rsidR="00BF4BF4" w:rsidRPr="00012CE1" w:rsidRDefault="00BF4BF4" w:rsidP="00A65DB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440"/>
          <w:tab w:val="left" w:pos="10800"/>
        </w:tabs>
        <w:jc w:val="center"/>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65"/>
        <w:gridCol w:w="1265"/>
        <w:gridCol w:w="1265"/>
        <w:gridCol w:w="1265"/>
      </w:tblGrid>
      <w:tr w:rsidR="00BF4BF4" w:rsidRPr="00294FCE" w:rsidTr="000546A0">
        <w:trPr>
          <w:trHeight w:val="323"/>
          <w:jc w:val="center"/>
        </w:trPr>
        <w:tc>
          <w:tcPr>
            <w:tcW w:w="1265" w:type="dxa"/>
            <w:tcBorders>
              <w:top w:val="double" w:sz="4" w:space="0" w:color="auto"/>
            </w:tcBorders>
          </w:tcPr>
          <w:p w:rsidR="00BF4BF4" w:rsidRPr="00294FCE" w:rsidRDefault="00BF4BF4" w:rsidP="00382C4B">
            <w:pPr>
              <w:spacing w:after="120"/>
              <w:jc w:val="center"/>
              <w:rPr>
                <w:rFonts w:ascii="Arial" w:hAnsi="Arial" w:cs="Arial"/>
              </w:rPr>
            </w:pPr>
          </w:p>
        </w:tc>
        <w:tc>
          <w:tcPr>
            <w:tcW w:w="3795" w:type="dxa"/>
            <w:gridSpan w:val="3"/>
            <w:tcBorders>
              <w:top w:val="double" w:sz="4" w:space="0" w:color="auto"/>
            </w:tcBorders>
          </w:tcPr>
          <w:p w:rsidR="00BF4BF4" w:rsidRPr="00294FCE" w:rsidRDefault="00BF4BF4" w:rsidP="00382C4B">
            <w:pPr>
              <w:spacing w:after="120"/>
              <w:jc w:val="center"/>
              <w:rPr>
                <w:rFonts w:ascii="Arial" w:hAnsi="Arial" w:cs="Arial"/>
                <w:b/>
                <w:sz w:val="28"/>
                <w:szCs w:val="28"/>
              </w:rPr>
            </w:pPr>
            <w:r w:rsidRPr="00294FCE">
              <w:rPr>
                <w:rFonts w:ascii="Arial" w:hAnsi="Arial" w:cs="Arial"/>
                <w:b/>
                <w:sz w:val="28"/>
                <w:szCs w:val="28"/>
              </w:rPr>
              <w:t>SOIL</w:t>
            </w:r>
          </w:p>
        </w:tc>
      </w:tr>
      <w:tr w:rsidR="00BF4BF4" w:rsidRPr="00294FCE" w:rsidTr="00EC5AFA">
        <w:trPr>
          <w:jc w:val="center"/>
        </w:trPr>
        <w:tc>
          <w:tcPr>
            <w:tcW w:w="1265" w:type="dxa"/>
            <w:vMerge w:val="restart"/>
            <w:tcBorders>
              <w:bottom w:val="single" w:sz="12" w:space="0" w:color="auto"/>
            </w:tcBorders>
          </w:tcPr>
          <w:p w:rsidR="00BF4BF4" w:rsidRPr="00294FCE" w:rsidRDefault="00BF4BF4" w:rsidP="00382C4B">
            <w:pPr>
              <w:spacing w:after="120"/>
              <w:jc w:val="center"/>
              <w:rPr>
                <w:rFonts w:ascii="Arial" w:hAnsi="Arial" w:cs="Arial"/>
                <w:sz w:val="24"/>
                <w:szCs w:val="24"/>
              </w:rPr>
            </w:pPr>
            <w:r>
              <w:rPr>
                <w:rFonts w:ascii="Arial" w:hAnsi="Arial" w:cs="Arial"/>
                <w:sz w:val="24"/>
                <w:szCs w:val="24"/>
              </w:rPr>
              <w:t>Pipe Class</w:t>
            </w:r>
          </w:p>
        </w:tc>
        <w:tc>
          <w:tcPr>
            <w:tcW w:w="1265" w:type="dxa"/>
          </w:tcPr>
          <w:p w:rsidR="00BF4BF4" w:rsidRPr="00294FCE" w:rsidRDefault="00BF4BF4" w:rsidP="00382C4B">
            <w:pPr>
              <w:spacing w:after="120"/>
              <w:jc w:val="center"/>
              <w:rPr>
                <w:rFonts w:ascii="Arial" w:hAnsi="Arial" w:cs="Arial"/>
                <w:sz w:val="24"/>
                <w:szCs w:val="24"/>
              </w:rPr>
            </w:pPr>
            <w:r w:rsidRPr="00294FCE">
              <w:rPr>
                <w:rFonts w:ascii="Arial" w:hAnsi="Arial" w:cs="Arial"/>
                <w:sz w:val="24"/>
                <w:szCs w:val="24"/>
              </w:rPr>
              <w:t>Sulfate</w:t>
            </w:r>
          </w:p>
        </w:tc>
        <w:tc>
          <w:tcPr>
            <w:tcW w:w="1265" w:type="dxa"/>
          </w:tcPr>
          <w:p w:rsidR="00BF4BF4" w:rsidRPr="00294FCE" w:rsidRDefault="00BF4BF4" w:rsidP="00382C4B">
            <w:pPr>
              <w:spacing w:after="120"/>
              <w:jc w:val="center"/>
              <w:rPr>
                <w:rFonts w:ascii="Arial" w:hAnsi="Arial" w:cs="Arial"/>
                <w:sz w:val="24"/>
                <w:szCs w:val="24"/>
              </w:rPr>
            </w:pPr>
            <w:r w:rsidRPr="00294FCE">
              <w:rPr>
                <w:rFonts w:ascii="Arial" w:hAnsi="Arial" w:cs="Arial"/>
                <w:sz w:val="24"/>
                <w:szCs w:val="24"/>
              </w:rPr>
              <w:t>Chloride</w:t>
            </w:r>
          </w:p>
        </w:tc>
        <w:tc>
          <w:tcPr>
            <w:tcW w:w="1265" w:type="dxa"/>
          </w:tcPr>
          <w:p w:rsidR="00BF4BF4" w:rsidRPr="00294FCE" w:rsidRDefault="00BF4BF4" w:rsidP="00382C4B">
            <w:pPr>
              <w:spacing w:after="120"/>
              <w:jc w:val="center"/>
              <w:rPr>
                <w:rFonts w:ascii="Arial" w:hAnsi="Arial" w:cs="Arial"/>
                <w:sz w:val="24"/>
                <w:szCs w:val="24"/>
              </w:rPr>
            </w:pPr>
          </w:p>
        </w:tc>
      </w:tr>
      <w:tr w:rsidR="00BF4BF4" w:rsidRPr="00294FCE" w:rsidTr="00EC5AFA">
        <w:trPr>
          <w:jc w:val="center"/>
        </w:trPr>
        <w:tc>
          <w:tcPr>
            <w:tcW w:w="1265" w:type="dxa"/>
            <w:vMerge/>
            <w:tcBorders>
              <w:bottom w:val="single" w:sz="12" w:space="0" w:color="auto"/>
            </w:tcBorders>
          </w:tcPr>
          <w:p w:rsidR="00BF4BF4" w:rsidRPr="00294FCE" w:rsidRDefault="00BF4BF4" w:rsidP="00382C4B">
            <w:pPr>
              <w:spacing w:after="120"/>
              <w:jc w:val="center"/>
              <w:rPr>
                <w:rFonts w:ascii="Arial" w:hAnsi="Arial" w:cs="Arial"/>
                <w:sz w:val="24"/>
                <w:szCs w:val="24"/>
              </w:rPr>
            </w:pPr>
          </w:p>
        </w:tc>
        <w:tc>
          <w:tcPr>
            <w:tcW w:w="1265" w:type="dxa"/>
          </w:tcPr>
          <w:p w:rsidR="00BF4BF4" w:rsidRPr="00294FCE" w:rsidRDefault="00BF4BF4" w:rsidP="00382C4B">
            <w:pPr>
              <w:spacing w:after="120"/>
              <w:jc w:val="center"/>
              <w:rPr>
                <w:rFonts w:ascii="Arial" w:hAnsi="Arial" w:cs="Arial"/>
                <w:sz w:val="24"/>
                <w:szCs w:val="24"/>
              </w:rPr>
            </w:pPr>
            <w:r w:rsidRPr="00294FCE">
              <w:rPr>
                <w:rFonts w:ascii="Arial" w:hAnsi="Arial" w:cs="Arial"/>
                <w:sz w:val="24"/>
                <w:szCs w:val="24"/>
              </w:rPr>
              <w:t>(SO</w:t>
            </w:r>
            <w:r w:rsidRPr="00294FCE">
              <w:rPr>
                <w:rFonts w:ascii="Arial" w:hAnsi="Arial" w:cs="Arial"/>
                <w:sz w:val="24"/>
                <w:szCs w:val="24"/>
                <w:vertAlign w:val="subscript"/>
              </w:rPr>
              <w:t>4</w:t>
            </w:r>
            <w:r w:rsidRPr="00294FCE">
              <w:rPr>
                <w:rFonts w:ascii="Arial" w:hAnsi="Arial" w:cs="Arial"/>
                <w:sz w:val="24"/>
                <w:szCs w:val="24"/>
              </w:rPr>
              <w:t>)</w:t>
            </w:r>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sz w:val="24"/>
                <w:szCs w:val="24"/>
              </w:rPr>
            </w:pPr>
            <w:r w:rsidRPr="00294FCE">
              <w:rPr>
                <w:rFonts w:ascii="Arial" w:hAnsi="Arial" w:cs="Arial"/>
                <w:sz w:val="24"/>
                <w:szCs w:val="24"/>
              </w:rPr>
              <w:t>(Cl)</w:t>
            </w:r>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sz w:val="24"/>
                <w:szCs w:val="24"/>
              </w:rPr>
            </w:pPr>
            <w:r w:rsidRPr="00294FCE">
              <w:rPr>
                <w:rFonts w:ascii="Arial" w:hAnsi="Arial" w:cs="Arial"/>
                <w:sz w:val="24"/>
                <w:szCs w:val="24"/>
              </w:rPr>
              <w:t>pH</w:t>
            </w:r>
          </w:p>
        </w:tc>
      </w:tr>
      <w:tr w:rsidR="00BF4BF4" w:rsidRPr="00294FCE" w:rsidTr="00EC5AFA">
        <w:trPr>
          <w:trHeight w:val="386"/>
          <w:jc w:val="center"/>
        </w:trPr>
        <w:tc>
          <w:tcPr>
            <w:tcW w:w="1265" w:type="dxa"/>
            <w:vMerge/>
            <w:tcBorders>
              <w:bottom w:val="single" w:sz="12" w:space="0" w:color="auto"/>
            </w:tcBorders>
          </w:tcPr>
          <w:p w:rsidR="00BF4BF4" w:rsidRPr="00294FCE" w:rsidRDefault="00BF4BF4" w:rsidP="00382C4B">
            <w:pPr>
              <w:spacing w:after="120"/>
              <w:jc w:val="center"/>
              <w:rPr>
                <w:rFonts w:ascii="Arial" w:hAnsi="Arial" w:cs="Arial"/>
                <w:sz w:val="24"/>
                <w:szCs w:val="24"/>
              </w:rPr>
            </w:pPr>
          </w:p>
        </w:tc>
        <w:tc>
          <w:tcPr>
            <w:tcW w:w="1265" w:type="dxa"/>
            <w:tcBorders>
              <w:bottom w:val="single" w:sz="12" w:space="0" w:color="auto"/>
            </w:tcBorders>
          </w:tcPr>
          <w:p w:rsidR="00BF4BF4" w:rsidRPr="00294FCE" w:rsidRDefault="00BF4BF4" w:rsidP="00382C4B">
            <w:pPr>
              <w:spacing w:after="120"/>
              <w:jc w:val="center"/>
              <w:rPr>
                <w:rFonts w:ascii="Arial" w:hAnsi="Arial" w:cs="Arial"/>
              </w:rPr>
            </w:pPr>
            <w:r w:rsidRPr="00294FCE">
              <w:rPr>
                <w:rFonts w:ascii="Arial" w:hAnsi="Arial" w:cs="Arial"/>
              </w:rPr>
              <w:t>% max</w:t>
            </w:r>
          </w:p>
        </w:tc>
        <w:tc>
          <w:tcPr>
            <w:tcW w:w="1265" w:type="dxa"/>
            <w:tcBorders>
              <w:bottom w:val="single" w:sz="12" w:space="0" w:color="auto"/>
            </w:tcBorders>
          </w:tcPr>
          <w:p w:rsidR="00BF4BF4" w:rsidRPr="00294FCE" w:rsidRDefault="00BF4BF4" w:rsidP="00382C4B">
            <w:pPr>
              <w:spacing w:after="120"/>
              <w:jc w:val="center"/>
              <w:rPr>
                <w:rFonts w:ascii="Arial" w:hAnsi="Arial" w:cs="Arial"/>
              </w:rPr>
            </w:pPr>
            <w:r w:rsidRPr="00294FCE">
              <w:rPr>
                <w:rFonts w:ascii="Arial" w:hAnsi="Arial" w:cs="Arial"/>
              </w:rPr>
              <w:t>% max</w:t>
            </w:r>
          </w:p>
        </w:tc>
        <w:tc>
          <w:tcPr>
            <w:tcW w:w="1265" w:type="dxa"/>
            <w:tcBorders>
              <w:bottom w:val="single" w:sz="12" w:space="0" w:color="auto"/>
            </w:tcBorders>
          </w:tcPr>
          <w:p w:rsidR="00BF4BF4" w:rsidRPr="00294FCE" w:rsidRDefault="00BF4BF4" w:rsidP="00382C4B">
            <w:pPr>
              <w:spacing w:after="120"/>
              <w:jc w:val="center"/>
              <w:rPr>
                <w:rFonts w:ascii="Arial" w:hAnsi="Arial" w:cs="Arial"/>
              </w:rPr>
            </w:pPr>
          </w:p>
        </w:tc>
      </w:tr>
      <w:tr w:rsidR="00BF4BF4" w:rsidRPr="00294FCE" w:rsidTr="000546A0">
        <w:trPr>
          <w:jc w:val="center"/>
        </w:trPr>
        <w:tc>
          <w:tcPr>
            <w:tcW w:w="1265" w:type="dxa"/>
            <w:tcBorders>
              <w:top w:val="single" w:sz="12" w:space="0" w:color="auto"/>
            </w:tcBorders>
            <w:shd w:val="clear" w:color="auto" w:fill="BFBFBF"/>
          </w:tcPr>
          <w:p w:rsidR="00BF4BF4" w:rsidRPr="00294FCE" w:rsidRDefault="00BF4BF4" w:rsidP="009F6701">
            <w:pPr>
              <w:spacing w:after="120"/>
              <w:jc w:val="center"/>
              <w:rPr>
                <w:rFonts w:ascii="Arial" w:hAnsi="Arial" w:cs="Arial"/>
              </w:rPr>
            </w:pPr>
            <w:r>
              <w:rPr>
                <w:rFonts w:ascii="Arial" w:hAnsi="Arial" w:cs="Arial"/>
              </w:rPr>
              <w:t>0 , 7</w:t>
            </w:r>
          </w:p>
        </w:tc>
        <w:tc>
          <w:tcPr>
            <w:tcW w:w="1265" w:type="dxa"/>
            <w:tcBorders>
              <w:top w:val="single" w:sz="12" w:space="0" w:color="auto"/>
            </w:tcBorders>
            <w:shd w:val="clear" w:color="auto" w:fill="BFBFBF"/>
          </w:tcPr>
          <w:p w:rsidR="00BF4BF4" w:rsidRPr="00294FCE" w:rsidRDefault="00BF4BF4" w:rsidP="00382C4B">
            <w:pPr>
              <w:spacing w:after="120"/>
              <w:jc w:val="center"/>
              <w:rPr>
                <w:rFonts w:ascii="Arial" w:hAnsi="Arial" w:cs="Arial"/>
              </w:rPr>
            </w:pPr>
            <w:r w:rsidRPr="00294FCE">
              <w:rPr>
                <w:rFonts w:ascii="Arial" w:hAnsi="Arial" w:cs="Arial"/>
              </w:rPr>
              <w:t>0.05</w:t>
            </w:r>
          </w:p>
        </w:tc>
        <w:tc>
          <w:tcPr>
            <w:tcW w:w="1265" w:type="dxa"/>
            <w:tcBorders>
              <w:top w:val="single" w:sz="12" w:space="0" w:color="auto"/>
            </w:tcBorders>
            <w:shd w:val="clear" w:color="auto" w:fill="BFBFBF"/>
          </w:tcPr>
          <w:p w:rsidR="00BF4BF4" w:rsidRPr="00294FCE" w:rsidRDefault="00BF4BF4" w:rsidP="00382C4B">
            <w:pPr>
              <w:spacing w:after="120"/>
              <w:jc w:val="center"/>
              <w:rPr>
                <w:rFonts w:ascii="Arial" w:hAnsi="Arial" w:cs="Arial"/>
              </w:rPr>
            </w:pPr>
            <w:r w:rsidRPr="00294FCE">
              <w:rPr>
                <w:rFonts w:ascii="Arial" w:hAnsi="Arial" w:cs="Arial"/>
              </w:rPr>
              <w:t>0.05</w:t>
            </w:r>
          </w:p>
        </w:tc>
        <w:tc>
          <w:tcPr>
            <w:tcW w:w="1265" w:type="dxa"/>
            <w:tcBorders>
              <w:top w:val="single" w:sz="12" w:space="0" w:color="auto"/>
            </w:tcBorders>
            <w:shd w:val="clear" w:color="auto" w:fill="BFBFBF"/>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
        <w:tc>
          <w:tcPr>
            <w:tcW w:w="1265" w:type="dxa"/>
          </w:tcPr>
          <w:p w:rsidR="00BF4BF4" w:rsidRPr="00294FCE" w:rsidRDefault="00BF4BF4" w:rsidP="00382C4B">
            <w:pPr>
              <w:spacing w:after="120"/>
              <w:jc w:val="center"/>
              <w:rPr>
                <w:rFonts w:ascii="Arial" w:hAnsi="Arial" w:cs="Arial"/>
              </w:rPr>
            </w:pPr>
            <w:r>
              <w:rPr>
                <w:rFonts w:ascii="Arial" w:hAnsi="Arial" w:cs="Arial"/>
              </w:rPr>
              <w:t>1, 7</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0.10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0.10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
        <w:tc>
          <w:tcPr>
            <w:tcW w:w="1265" w:type="dxa"/>
            <w:shd w:val="clear" w:color="auto" w:fill="BFBFBF"/>
          </w:tcPr>
          <w:p w:rsidR="00BF4BF4" w:rsidRPr="00294FCE" w:rsidRDefault="00BF4BF4" w:rsidP="00382C4B">
            <w:pPr>
              <w:spacing w:after="120"/>
              <w:jc w:val="center"/>
              <w:rPr>
                <w:rFonts w:ascii="Arial" w:hAnsi="Arial" w:cs="Arial"/>
              </w:rPr>
            </w:pPr>
            <w:r>
              <w:rPr>
                <w:rFonts w:ascii="Arial" w:hAnsi="Arial" w:cs="Arial"/>
              </w:rPr>
              <w:t>2, 8</w:t>
            </w:r>
          </w:p>
        </w:tc>
        <w:tc>
          <w:tcPr>
            <w:tcW w:w="1265" w:type="dxa"/>
            <w:shd w:val="clear" w:color="auto" w:fill="BFBFBF"/>
          </w:tcPr>
          <w:p w:rsidR="00BF4BF4" w:rsidRPr="00294FCE" w:rsidRDefault="00BF4BF4" w:rsidP="00382C4B">
            <w:pPr>
              <w:spacing w:after="120"/>
              <w:jc w:val="center"/>
              <w:rPr>
                <w:rFonts w:ascii="Arial" w:hAnsi="Arial" w:cs="Arial"/>
              </w:rPr>
            </w:pPr>
            <w:r w:rsidRPr="00294FCE">
              <w:rPr>
                <w:rFonts w:ascii="Arial" w:hAnsi="Arial" w:cs="Arial"/>
              </w:rPr>
              <w:t>0.20</w:t>
            </w:r>
          </w:p>
        </w:tc>
        <w:tc>
          <w:tcPr>
            <w:tcW w:w="1265" w:type="dxa"/>
            <w:shd w:val="clear" w:color="auto" w:fill="BFBFBF"/>
          </w:tcPr>
          <w:p w:rsidR="00BF4BF4" w:rsidRPr="00294FCE" w:rsidRDefault="00BF4BF4" w:rsidP="00382C4B">
            <w:pPr>
              <w:spacing w:after="120"/>
              <w:jc w:val="center"/>
              <w:rPr>
                <w:rFonts w:ascii="Arial" w:hAnsi="Arial" w:cs="Arial"/>
              </w:rPr>
            </w:pPr>
            <w:r w:rsidRPr="00294FCE">
              <w:rPr>
                <w:rFonts w:ascii="Arial" w:hAnsi="Arial" w:cs="Arial"/>
              </w:rPr>
              <w:t>0.20</w:t>
            </w:r>
          </w:p>
        </w:tc>
        <w:tc>
          <w:tcPr>
            <w:tcW w:w="1265" w:type="dxa"/>
            <w:shd w:val="clear" w:color="auto" w:fill="BFBFBF"/>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
        <w:tc>
          <w:tcPr>
            <w:tcW w:w="1265" w:type="dxa"/>
          </w:tcPr>
          <w:p w:rsidR="00BF4BF4" w:rsidRPr="00294FCE" w:rsidRDefault="00BF4BF4" w:rsidP="00382C4B">
            <w:pPr>
              <w:spacing w:after="120"/>
              <w:jc w:val="center"/>
              <w:rPr>
                <w:rFonts w:ascii="Arial" w:hAnsi="Arial" w:cs="Arial"/>
              </w:rPr>
            </w:pPr>
            <w:r>
              <w:rPr>
                <w:rFonts w:ascii="Arial" w:hAnsi="Arial" w:cs="Arial"/>
              </w:rPr>
              <w:t>3, 9</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0.50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0.50</w:t>
            </w:r>
          </w:p>
        </w:tc>
        <w:tc>
          <w:tcPr>
            <w:tcW w:w="1265" w:type="dxa"/>
          </w:tcPr>
          <w:p w:rsidR="00BF4BF4" w:rsidRPr="00294FCE" w:rsidRDefault="00BF4BF4" w:rsidP="00382C4B">
            <w:pPr>
              <w:spacing w:after="120"/>
              <w:jc w:val="center"/>
              <w:rPr>
                <w:rFonts w:ascii="Arial" w:hAnsi="Arial" w:cs="Arial"/>
              </w:rPr>
            </w:pPr>
            <w:r w:rsidRPr="00294FCE">
              <w:rPr>
                <w:rFonts w:ascii="Arial" w:hAnsi="Arial" w:cs="Arial"/>
              </w:rPr>
              <w:t>6.0-8.5</w:t>
            </w:r>
          </w:p>
        </w:tc>
      </w:tr>
      <w:tr w:rsidR="00BF4BF4" w:rsidRPr="00294FCE" w:rsidTr="000546A0">
        <w:trPr>
          <w:jc w:val="center"/>
        </w:trPr>
        <w:tc>
          <w:tcPr>
            <w:tcW w:w="1265" w:type="dxa"/>
            <w:shd w:val="clear" w:color="auto" w:fill="BFBFBF"/>
          </w:tcPr>
          <w:p w:rsidR="00BF4BF4" w:rsidRPr="00294FCE" w:rsidRDefault="00BF4BF4" w:rsidP="00382C4B">
            <w:pPr>
              <w:spacing w:after="120"/>
              <w:jc w:val="center"/>
              <w:rPr>
                <w:rFonts w:ascii="Arial" w:hAnsi="Arial" w:cs="Arial"/>
              </w:rPr>
            </w:pPr>
            <w:r>
              <w:rPr>
                <w:rFonts w:ascii="Arial" w:hAnsi="Arial" w:cs="Arial"/>
              </w:rPr>
              <w:t>4, 9</w:t>
            </w:r>
          </w:p>
        </w:tc>
        <w:tc>
          <w:tcPr>
            <w:tcW w:w="1265" w:type="dxa"/>
            <w:shd w:val="clear" w:color="auto" w:fill="BFBFBF"/>
          </w:tcPr>
          <w:p w:rsidR="00BF4BF4" w:rsidRPr="00294FCE" w:rsidRDefault="00BF4BF4" w:rsidP="00382C4B">
            <w:pPr>
              <w:spacing w:after="120"/>
              <w:jc w:val="center"/>
              <w:rPr>
                <w:rFonts w:ascii="Arial" w:hAnsi="Arial" w:cs="Arial"/>
              </w:rPr>
            </w:pPr>
            <w:r w:rsidRPr="00294FCE">
              <w:rPr>
                <w:rFonts w:ascii="Arial" w:hAnsi="Arial" w:cs="Arial"/>
              </w:rPr>
              <w:t>1.00</w:t>
            </w:r>
          </w:p>
        </w:tc>
        <w:tc>
          <w:tcPr>
            <w:tcW w:w="1265" w:type="dxa"/>
            <w:shd w:val="clear" w:color="auto" w:fill="BFBFBF"/>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1.00</w:t>
            </w:r>
          </w:p>
        </w:tc>
        <w:tc>
          <w:tcPr>
            <w:tcW w:w="1265" w:type="dxa"/>
            <w:shd w:val="clear" w:color="auto" w:fill="BFBFBF"/>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5.0-9.0</w:t>
            </w:r>
          </w:p>
        </w:tc>
      </w:tr>
      <w:tr w:rsidR="00BF4BF4" w:rsidRPr="00294FCE" w:rsidTr="000546A0">
        <w:trPr>
          <w:jc w:val="center"/>
        </w:trPr>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Pr>
                <w:rFonts w:ascii="Arial" w:hAnsi="Arial" w:cs="Arial"/>
              </w:rPr>
              <w:t>5, 10</w:t>
            </w:r>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2.00</w:t>
            </w:r>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2.00</w:t>
            </w:r>
          </w:p>
        </w:tc>
        <w:tc>
          <w:tcPr>
            <w:tcW w:w="1265" w:type="dxa"/>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5.0-9.0</w:t>
            </w:r>
          </w:p>
        </w:tc>
      </w:tr>
      <w:tr w:rsidR="00BF4BF4" w:rsidRPr="00294FCE" w:rsidTr="000546A0">
        <w:trPr>
          <w:jc w:val="center"/>
        </w:trPr>
        <w:tc>
          <w:tcPr>
            <w:tcW w:w="1265" w:type="dxa"/>
            <w:tcBorders>
              <w:bottom w:val="double" w:sz="4" w:space="0" w:color="auto"/>
            </w:tcBorders>
            <w:shd w:val="clear" w:color="auto" w:fill="BFBFBF"/>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Pr>
                <w:rFonts w:ascii="Arial" w:hAnsi="Arial" w:cs="Arial"/>
              </w:rPr>
              <w:t>6, 10</w:t>
            </w:r>
          </w:p>
        </w:tc>
        <w:tc>
          <w:tcPr>
            <w:tcW w:w="1265" w:type="dxa"/>
            <w:tcBorders>
              <w:bottom w:val="double" w:sz="4" w:space="0" w:color="auto"/>
            </w:tcBorders>
            <w:shd w:val="clear" w:color="auto" w:fill="BFBFBF"/>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&gt;2.00</w:t>
            </w:r>
          </w:p>
        </w:tc>
        <w:tc>
          <w:tcPr>
            <w:tcW w:w="1265" w:type="dxa"/>
            <w:tcBorders>
              <w:bottom w:val="double" w:sz="4" w:space="0" w:color="auto"/>
            </w:tcBorders>
            <w:shd w:val="clear" w:color="auto" w:fill="BFBFBF"/>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&gt;2.00</w:t>
            </w:r>
          </w:p>
        </w:tc>
        <w:tc>
          <w:tcPr>
            <w:tcW w:w="1265" w:type="dxa"/>
            <w:tcBorders>
              <w:bottom w:val="double" w:sz="4" w:space="0" w:color="auto"/>
            </w:tcBorders>
            <w:shd w:val="clear" w:color="auto" w:fill="BFBFBF"/>
          </w:tcPr>
          <w:p w:rsidR="00BF4BF4" w:rsidRPr="00294FCE" w:rsidRDefault="00BF4BF4" w:rsidP="00382C4B">
            <w:pPr>
              <w:tabs>
                <w:tab w:val="left" w:pos="450"/>
                <w:tab w:val="left" w:pos="864"/>
                <w:tab w:val="left" w:pos="1728"/>
                <w:tab w:val="left" w:pos="2160"/>
                <w:tab w:val="left" w:pos="2592"/>
                <w:tab w:val="left" w:pos="3024"/>
              </w:tabs>
              <w:spacing w:after="120"/>
              <w:ind w:left="450" w:hanging="450"/>
              <w:jc w:val="center"/>
              <w:rPr>
                <w:rFonts w:ascii="Arial" w:hAnsi="Arial" w:cs="Arial"/>
              </w:rPr>
            </w:pPr>
            <w:r w:rsidRPr="00294FCE">
              <w:rPr>
                <w:rFonts w:ascii="Arial" w:hAnsi="Arial" w:cs="Arial"/>
              </w:rPr>
              <w:t>&lt;5 or &gt;9</w:t>
            </w:r>
          </w:p>
        </w:tc>
      </w:tr>
    </w:tbl>
    <w:p w:rsidR="00597010" w:rsidRPr="00597010" w:rsidRDefault="00597010" w:rsidP="00597010">
      <w:pPr>
        <w:jc w:val="center"/>
        <w:rPr>
          <w:rFonts w:ascii="Arial" w:hAnsi="Arial"/>
          <w:b/>
        </w:rPr>
      </w:pPr>
    </w:p>
    <w:p w:rsidR="00597010" w:rsidRPr="00597010" w:rsidRDefault="00597010" w:rsidP="00597010">
      <w:pPr>
        <w:jc w:val="center"/>
        <w:rPr>
          <w:rFonts w:ascii="Arial" w:hAnsi="Arial"/>
          <w:b/>
        </w:rPr>
      </w:pPr>
    </w:p>
    <w:p w:rsidR="00BF4BF4" w:rsidRDefault="00BF4BF4" w:rsidP="00A65DB6">
      <w:pPr>
        <w:jc w:val="center"/>
        <w:rPr>
          <w:rFonts w:ascii="Arial" w:hAnsi="Arial" w:cs="Arial"/>
          <w:b/>
        </w:rPr>
      </w:pPr>
      <w:r w:rsidRPr="00356363">
        <w:rPr>
          <w:rFonts w:ascii="Arial" w:hAnsi="Arial" w:cs="Arial"/>
          <w:b/>
        </w:rPr>
        <w:t>Table 203-2</w:t>
      </w:r>
    </w:p>
    <w:p w:rsidR="00BF4BF4" w:rsidRDefault="00BF4BF4" w:rsidP="00A65DB6">
      <w:pPr>
        <w:jc w:val="center"/>
        <w:rPr>
          <w:rFonts w:ascii="Arial" w:hAnsi="Arial" w:cs="Arial"/>
          <w:b/>
        </w:rPr>
      </w:pPr>
      <w:r>
        <w:rPr>
          <w:rFonts w:ascii="Arial" w:hAnsi="Arial" w:cs="Arial"/>
          <w:b/>
        </w:rPr>
        <w:t>RESISTIVITY AND PH OF IMPORTED MATERIAL</w:t>
      </w:r>
    </w:p>
    <w:p w:rsidR="00BF4BF4" w:rsidRPr="00356363" w:rsidRDefault="00BF4BF4" w:rsidP="00A65DB6">
      <w:pPr>
        <w:jc w:val="center"/>
        <w:rPr>
          <w:rFonts w:ascii="Arial" w:hAnsi="Arial" w:cs="Arial"/>
          <w: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78"/>
        <w:gridCol w:w="1557"/>
      </w:tblGrid>
      <w:tr w:rsidR="00BF4BF4" w:rsidRPr="00294FCE" w:rsidTr="000C4F48">
        <w:trPr>
          <w:cantSplit/>
          <w:trHeight w:val="216"/>
          <w:jc w:val="center"/>
        </w:trPr>
        <w:tc>
          <w:tcPr>
            <w:tcW w:w="5535" w:type="dxa"/>
            <w:gridSpan w:val="2"/>
            <w:tcBorders>
              <w:top w:val="double" w:sz="4" w:space="0" w:color="auto"/>
            </w:tcBorders>
            <w:shd w:val="clear" w:color="auto" w:fill="auto"/>
            <w:vAlign w:val="center"/>
          </w:tcPr>
          <w:p w:rsidR="00BF4BF4" w:rsidRPr="00294FCE" w:rsidRDefault="00BF4BF4" w:rsidP="00382C4B">
            <w:pPr>
              <w:jc w:val="center"/>
              <w:rPr>
                <w:rFonts w:ascii="Arial" w:hAnsi="Arial" w:cs="Arial"/>
                <w:b/>
                <w:sz w:val="24"/>
                <w:szCs w:val="24"/>
              </w:rPr>
            </w:pPr>
            <w:r w:rsidRPr="00294FCE">
              <w:rPr>
                <w:rFonts w:ascii="Arial" w:hAnsi="Arial" w:cs="Arial"/>
                <w:b/>
                <w:sz w:val="24"/>
                <w:szCs w:val="24"/>
              </w:rPr>
              <w:t>SOIL SIDE</w:t>
            </w:r>
          </w:p>
        </w:tc>
      </w:tr>
      <w:tr w:rsidR="00BF4BF4" w:rsidRPr="00294FCE" w:rsidTr="000C4F48">
        <w:trPr>
          <w:cantSplit/>
          <w:trHeight w:val="216"/>
          <w:jc w:val="center"/>
        </w:trPr>
        <w:tc>
          <w:tcPr>
            <w:tcW w:w="3978" w:type="dxa"/>
            <w:vMerge w:val="restart"/>
            <w:shd w:val="clear" w:color="auto" w:fill="auto"/>
            <w:vAlign w:val="center"/>
          </w:tcPr>
          <w:p w:rsidR="00BF4BF4" w:rsidRPr="00294FCE" w:rsidRDefault="00BF4BF4" w:rsidP="00382C4B">
            <w:pPr>
              <w:jc w:val="center"/>
              <w:rPr>
                <w:rFonts w:ascii="Arial" w:hAnsi="Arial" w:cs="Arial"/>
                <w:sz w:val="24"/>
                <w:szCs w:val="24"/>
              </w:rPr>
            </w:pPr>
            <w:r w:rsidRPr="00294FCE">
              <w:rPr>
                <w:rFonts w:ascii="Arial" w:hAnsi="Arial" w:cs="Arial"/>
                <w:sz w:val="24"/>
                <w:szCs w:val="24"/>
              </w:rPr>
              <w:t>Resistivity, R (Ohm – cm)</w:t>
            </w:r>
          </w:p>
        </w:tc>
        <w:tc>
          <w:tcPr>
            <w:tcW w:w="1557" w:type="dxa"/>
            <w:tcBorders>
              <w:bottom w:val="nil"/>
            </w:tcBorders>
            <w:shd w:val="clear" w:color="auto" w:fill="auto"/>
            <w:vAlign w:val="center"/>
          </w:tcPr>
          <w:p w:rsidR="00BF4BF4" w:rsidRPr="00294FCE" w:rsidRDefault="00BF4BF4" w:rsidP="00382C4B">
            <w:pPr>
              <w:jc w:val="center"/>
              <w:rPr>
                <w:rFonts w:ascii="Arial" w:hAnsi="Arial" w:cs="Arial"/>
              </w:rPr>
            </w:pPr>
          </w:p>
        </w:tc>
      </w:tr>
      <w:tr w:rsidR="00BF4BF4" w:rsidRPr="00294FCE" w:rsidTr="000C4F48">
        <w:trPr>
          <w:cantSplit/>
          <w:trHeight w:val="216"/>
          <w:jc w:val="center"/>
        </w:trPr>
        <w:tc>
          <w:tcPr>
            <w:tcW w:w="3978" w:type="dxa"/>
            <w:vMerge/>
            <w:vAlign w:val="center"/>
          </w:tcPr>
          <w:p w:rsidR="00BF4BF4" w:rsidRPr="00294FCE" w:rsidRDefault="00BF4BF4" w:rsidP="00382C4B">
            <w:pPr>
              <w:jc w:val="center"/>
              <w:rPr>
                <w:rFonts w:ascii="Arial" w:hAnsi="Arial" w:cs="Arial"/>
              </w:rPr>
            </w:pPr>
          </w:p>
        </w:tc>
        <w:tc>
          <w:tcPr>
            <w:tcW w:w="1557" w:type="dxa"/>
            <w:tcBorders>
              <w:top w:val="nil"/>
              <w:bottom w:val="nil"/>
            </w:tcBorders>
            <w:shd w:val="clear" w:color="auto" w:fill="auto"/>
            <w:vAlign w:val="center"/>
          </w:tcPr>
          <w:p w:rsidR="00BF4BF4" w:rsidRPr="00294FCE" w:rsidRDefault="00BF4BF4" w:rsidP="00382C4B">
            <w:pPr>
              <w:jc w:val="center"/>
              <w:rPr>
                <w:rFonts w:ascii="Arial" w:hAnsi="Arial" w:cs="Arial"/>
                <w:sz w:val="24"/>
                <w:szCs w:val="24"/>
              </w:rPr>
            </w:pPr>
            <w:r w:rsidRPr="00294FCE">
              <w:rPr>
                <w:rFonts w:ascii="Arial" w:hAnsi="Arial" w:cs="Arial"/>
                <w:sz w:val="24"/>
                <w:szCs w:val="24"/>
              </w:rPr>
              <w:t>pH</w:t>
            </w:r>
          </w:p>
        </w:tc>
      </w:tr>
      <w:tr w:rsidR="00BF4BF4" w:rsidRPr="00294FCE" w:rsidTr="000C4F48">
        <w:trPr>
          <w:cantSplit/>
          <w:trHeight w:val="216"/>
          <w:jc w:val="center"/>
        </w:trPr>
        <w:tc>
          <w:tcPr>
            <w:tcW w:w="3978" w:type="dxa"/>
            <w:vMerge/>
            <w:tcBorders>
              <w:bottom w:val="single" w:sz="12" w:space="0" w:color="auto"/>
            </w:tcBorders>
            <w:vAlign w:val="center"/>
          </w:tcPr>
          <w:p w:rsidR="00BF4BF4" w:rsidRPr="00294FCE" w:rsidRDefault="00BF4BF4" w:rsidP="00382C4B">
            <w:pPr>
              <w:jc w:val="center"/>
              <w:rPr>
                <w:rFonts w:ascii="Arial" w:hAnsi="Arial" w:cs="Arial"/>
              </w:rPr>
            </w:pPr>
          </w:p>
        </w:tc>
        <w:tc>
          <w:tcPr>
            <w:tcW w:w="1557" w:type="dxa"/>
            <w:tcBorders>
              <w:top w:val="nil"/>
              <w:bottom w:val="single" w:sz="12" w:space="0" w:color="auto"/>
            </w:tcBorders>
            <w:shd w:val="clear" w:color="auto" w:fill="auto"/>
            <w:vAlign w:val="center"/>
          </w:tcPr>
          <w:p w:rsidR="00BF4BF4" w:rsidRPr="00294FCE" w:rsidRDefault="00BF4BF4" w:rsidP="00382C4B">
            <w:pPr>
              <w:jc w:val="center"/>
              <w:rPr>
                <w:rFonts w:ascii="Arial" w:hAnsi="Arial" w:cs="Arial"/>
              </w:rPr>
            </w:pPr>
          </w:p>
        </w:tc>
      </w:tr>
      <w:tr w:rsidR="00BF4BF4" w:rsidRPr="00294FCE" w:rsidTr="00356363">
        <w:trPr>
          <w:cantSplit/>
          <w:trHeight w:val="216"/>
          <w:jc w:val="center"/>
        </w:trPr>
        <w:tc>
          <w:tcPr>
            <w:tcW w:w="3978" w:type="dxa"/>
            <w:tcBorders>
              <w:top w:val="single" w:sz="12" w:space="0" w:color="auto"/>
            </w:tcBorders>
            <w:shd w:val="clear" w:color="auto" w:fill="BFBFBF"/>
            <w:tcMar>
              <w:top w:w="58" w:type="dxa"/>
              <w:left w:w="115" w:type="dxa"/>
              <w:bottom w:w="58" w:type="dxa"/>
              <w:right w:w="115" w:type="dxa"/>
            </w:tcMar>
            <w:vAlign w:val="center"/>
          </w:tcPr>
          <w:p w:rsidR="00BF4BF4" w:rsidRPr="00294FCE" w:rsidRDefault="00BF4BF4" w:rsidP="00382C4B">
            <w:pPr>
              <w:jc w:val="center"/>
              <w:rPr>
                <w:rFonts w:ascii="Arial" w:hAnsi="Arial" w:cs="Arial"/>
              </w:rPr>
            </w:pPr>
            <w:r w:rsidRPr="00294FCE">
              <w:rPr>
                <w:rFonts w:ascii="Arial" w:hAnsi="Arial" w:cs="Arial"/>
              </w:rPr>
              <w:t>≥1,500</w:t>
            </w:r>
          </w:p>
        </w:tc>
        <w:tc>
          <w:tcPr>
            <w:tcW w:w="1557" w:type="dxa"/>
            <w:tcBorders>
              <w:top w:val="single" w:sz="12" w:space="0" w:color="auto"/>
            </w:tcBorders>
            <w:shd w:val="clear" w:color="auto" w:fill="BFBFBF"/>
            <w:tcMar>
              <w:top w:w="58" w:type="dxa"/>
              <w:left w:w="115" w:type="dxa"/>
              <w:bottom w:w="58" w:type="dxa"/>
              <w:right w:w="115" w:type="dxa"/>
            </w:tcMar>
            <w:vAlign w:val="center"/>
          </w:tcPr>
          <w:p w:rsidR="00BF4BF4" w:rsidRPr="00294FCE" w:rsidRDefault="00BF4BF4" w:rsidP="00382C4B">
            <w:pPr>
              <w:jc w:val="center"/>
              <w:rPr>
                <w:rFonts w:ascii="Arial" w:hAnsi="Arial" w:cs="Arial"/>
              </w:rPr>
            </w:pPr>
            <w:r w:rsidRPr="00294FCE">
              <w:rPr>
                <w:rFonts w:ascii="Arial" w:hAnsi="Arial" w:cs="Arial"/>
              </w:rPr>
              <w:t>5.0-9.0</w:t>
            </w:r>
          </w:p>
        </w:tc>
      </w:tr>
      <w:tr w:rsidR="00BF4BF4" w:rsidRPr="00294FCE" w:rsidTr="000C4F48">
        <w:trPr>
          <w:cantSplit/>
          <w:trHeight w:val="216"/>
          <w:jc w:val="center"/>
        </w:trPr>
        <w:tc>
          <w:tcPr>
            <w:tcW w:w="3978" w:type="dxa"/>
            <w:tcBorders>
              <w:bottom w:val="double" w:sz="4" w:space="0" w:color="auto"/>
            </w:tcBorders>
            <w:shd w:val="clear" w:color="auto" w:fill="auto"/>
            <w:tcMar>
              <w:top w:w="58" w:type="dxa"/>
              <w:left w:w="115" w:type="dxa"/>
              <w:bottom w:w="58" w:type="dxa"/>
              <w:right w:w="115" w:type="dxa"/>
            </w:tcMar>
            <w:vAlign w:val="center"/>
          </w:tcPr>
          <w:p w:rsidR="00BF4BF4" w:rsidRPr="00294FCE" w:rsidRDefault="00BF4BF4" w:rsidP="00382C4B">
            <w:pPr>
              <w:jc w:val="center"/>
              <w:rPr>
                <w:rFonts w:ascii="Arial" w:hAnsi="Arial" w:cs="Arial"/>
              </w:rPr>
            </w:pPr>
            <w:r w:rsidRPr="00294FCE">
              <w:rPr>
                <w:rFonts w:ascii="Arial" w:hAnsi="Arial" w:cs="Arial"/>
              </w:rPr>
              <w:t>≥250</w:t>
            </w:r>
          </w:p>
        </w:tc>
        <w:tc>
          <w:tcPr>
            <w:tcW w:w="1557" w:type="dxa"/>
            <w:tcBorders>
              <w:bottom w:val="double" w:sz="4" w:space="0" w:color="auto"/>
            </w:tcBorders>
            <w:shd w:val="clear" w:color="auto" w:fill="auto"/>
            <w:tcMar>
              <w:top w:w="58" w:type="dxa"/>
              <w:left w:w="115" w:type="dxa"/>
              <w:bottom w:w="58" w:type="dxa"/>
              <w:right w:w="115" w:type="dxa"/>
            </w:tcMar>
            <w:vAlign w:val="center"/>
          </w:tcPr>
          <w:p w:rsidR="00BF4BF4" w:rsidRPr="00294FCE" w:rsidRDefault="00BF4BF4" w:rsidP="00382C4B">
            <w:pPr>
              <w:jc w:val="center"/>
              <w:rPr>
                <w:rFonts w:ascii="Arial" w:hAnsi="Arial" w:cs="Arial"/>
              </w:rPr>
            </w:pPr>
            <w:r w:rsidRPr="00294FCE">
              <w:rPr>
                <w:rFonts w:ascii="Arial" w:hAnsi="Arial" w:cs="Arial"/>
              </w:rPr>
              <w:t>3.0-12.0</w:t>
            </w:r>
          </w:p>
        </w:tc>
      </w:tr>
    </w:tbl>
    <w:p w:rsidR="00BF4BF4" w:rsidRPr="00294FCE" w:rsidRDefault="00BF4BF4" w:rsidP="00834CCC">
      <w:pPr>
        <w:rPr>
          <w:rFonts w:ascii="Arial" w:hAnsi="Arial" w:cs="Arial"/>
        </w:rPr>
      </w:pPr>
    </w:p>
    <w:p w:rsidR="00BF4BF4" w:rsidRPr="00294FCE" w:rsidRDefault="00BF4BF4" w:rsidP="003C3F1C">
      <w:pPr>
        <w:rPr>
          <w:sz w:val="22"/>
        </w:rPr>
      </w:pPr>
    </w:p>
    <w:p w:rsidR="00827245" w:rsidRDefault="00827245" w:rsidP="0060668F">
      <w:pPr>
        <w:jc w:val="center"/>
        <w:rPr>
          <w:rFonts w:ascii="Arial" w:hAnsi="Arial"/>
          <w:color w:val="000000"/>
        </w:rPr>
      </w:pPr>
    </w:p>
    <w:sectPr w:rsidR="00827245" w:rsidSect="00C516C5">
      <w:headerReference w:type="default" r:id="rId8"/>
      <w:pgSz w:w="12240" w:h="15840" w:code="1"/>
      <w:pgMar w:top="720" w:right="1080" w:bottom="288" w:left="1080"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155" w:rsidRDefault="000B6155" w:rsidP="00F878BD">
      <w:r>
        <w:separator/>
      </w:r>
    </w:p>
  </w:endnote>
  <w:endnote w:type="continuationSeparator" w:id="0">
    <w:p w:rsidR="000B6155" w:rsidRDefault="000B6155" w:rsidP="00F87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155" w:rsidRDefault="000B6155" w:rsidP="00F878BD">
      <w:r>
        <w:separator/>
      </w:r>
    </w:p>
  </w:footnote>
  <w:footnote w:type="continuationSeparator" w:id="0">
    <w:p w:rsidR="000B6155" w:rsidRDefault="000B6155" w:rsidP="00F87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75" w:rsidRDefault="00ED1775" w:rsidP="00ED1775">
    <w:pPr>
      <w:jc w:val="right"/>
      <w:rPr>
        <w:rFonts w:ascii="Arial" w:hAnsi="Arial" w:cs="Arial"/>
        <w:color w:val="000000"/>
      </w:rPr>
    </w:pPr>
    <w:r>
      <w:rPr>
        <w:rFonts w:ascii="Arial" w:hAnsi="Arial" w:cs="Arial"/>
        <w:color w:val="000000"/>
      </w:rPr>
      <w:t>February 3, 2011</w:t>
    </w:r>
  </w:p>
  <w:p w:rsidR="001B74E4" w:rsidRDefault="00BE51A2" w:rsidP="001B74E4">
    <w:pPr>
      <w:jc w:val="center"/>
      <w:rPr>
        <w:rFonts w:ascii="Arial" w:hAnsi="Arial" w:cs="Arial"/>
        <w:color w:val="000000"/>
      </w:rPr>
    </w:pPr>
    <w:r w:rsidRPr="001B74E4">
      <w:rPr>
        <w:rFonts w:ascii="Arial" w:hAnsi="Arial" w:cs="Arial"/>
        <w:color w:val="000000"/>
      </w:rPr>
      <w:fldChar w:fldCharType="begin"/>
    </w:r>
    <w:r w:rsidR="001B74E4" w:rsidRPr="001B74E4">
      <w:rPr>
        <w:rFonts w:ascii="Arial" w:hAnsi="Arial" w:cs="Arial"/>
        <w:color w:val="000000"/>
      </w:rPr>
      <w:instrText xml:space="preserve"> PAGE   \* MERGEFORMAT </w:instrText>
    </w:r>
    <w:r w:rsidRPr="001B74E4">
      <w:rPr>
        <w:rFonts w:ascii="Arial" w:hAnsi="Arial" w:cs="Arial"/>
        <w:color w:val="000000"/>
      </w:rPr>
      <w:fldChar w:fldCharType="separate"/>
    </w:r>
    <w:r w:rsidR="00ED1775">
      <w:rPr>
        <w:rFonts w:ascii="Arial" w:hAnsi="Arial" w:cs="Arial"/>
        <w:noProof/>
        <w:color w:val="000000"/>
      </w:rPr>
      <w:t>1</w:t>
    </w:r>
    <w:r w:rsidRPr="001B74E4">
      <w:rPr>
        <w:rFonts w:ascii="Arial" w:hAnsi="Arial" w:cs="Arial"/>
        <w:color w:val="000000"/>
      </w:rPr>
      <w:fldChar w:fldCharType="end"/>
    </w:r>
  </w:p>
  <w:p w:rsidR="001B74E4" w:rsidRDefault="001B74E4" w:rsidP="001B74E4">
    <w:pPr>
      <w:jc w:val="center"/>
      <w:rPr>
        <w:rFonts w:ascii="Arial" w:hAnsi="Arial" w:cs="Arial"/>
        <w:color w:val="000000"/>
      </w:rPr>
    </w:pPr>
    <w:r>
      <w:rPr>
        <w:rFonts w:ascii="Arial" w:hAnsi="Arial" w:cs="Arial"/>
        <w:color w:val="000000"/>
      </w:rPr>
      <w:t>REVISION OF SECTION 203</w:t>
    </w:r>
  </w:p>
  <w:p w:rsidR="001B74E4" w:rsidRDefault="001B74E4" w:rsidP="001B74E4">
    <w:pPr>
      <w:jc w:val="center"/>
      <w:rPr>
        <w:rFonts w:ascii="Arial" w:hAnsi="Arial" w:cs="Arial"/>
        <w:color w:val="000000"/>
      </w:rPr>
    </w:pPr>
    <w:r>
      <w:rPr>
        <w:rFonts w:ascii="Arial" w:hAnsi="Arial" w:cs="Arial"/>
        <w:color w:val="000000"/>
      </w:rPr>
      <w:t>IMPORTED MATERIAL FOR EMBANKMENT</w:t>
    </w:r>
  </w:p>
  <w:p w:rsidR="00726A77" w:rsidRPr="001B74E4" w:rsidRDefault="00726A77" w:rsidP="001B7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1B54D2F"/>
    <w:multiLevelType w:val="hybridMultilevel"/>
    <w:tmpl w:val="912CE492"/>
    <w:lvl w:ilvl="0" w:tplc="1DD6F1DE">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4C7B4A93"/>
    <w:multiLevelType w:val="hybridMultilevel"/>
    <w:tmpl w:val="1CEE19C6"/>
    <w:lvl w:ilvl="0" w:tplc="1DD6F1DE">
      <w:start w:val="1"/>
      <w:numFmt w:val="decimal"/>
      <w:lvlText w:val="(%1)"/>
      <w:lvlJc w:val="left"/>
      <w:pPr>
        <w:ind w:left="360" w:hanging="360"/>
      </w:pPr>
      <w:rPr>
        <w:rFonts w:hint="default"/>
        <w:b w:val="0"/>
        <w:i w:val="0"/>
        <w:color w:val="auto"/>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605A4"/>
    <w:rsid w:val="00012CE1"/>
    <w:rsid w:val="00027E51"/>
    <w:rsid w:val="00031489"/>
    <w:rsid w:val="00060D93"/>
    <w:rsid w:val="00060FB4"/>
    <w:rsid w:val="000A02CA"/>
    <w:rsid w:val="000B6155"/>
    <w:rsid w:val="000F7494"/>
    <w:rsid w:val="001B74E4"/>
    <w:rsid w:val="001C3F85"/>
    <w:rsid w:val="00246D8B"/>
    <w:rsid w:val="00282CB4"/>
    <w:rsid w:val="00294FCE"/>
    <w:rsid w:val="002C5200"/>
    <w:rsid w:val="00356363"/>
    <w:rsid w:val="003C1632"/>
    <w:rsid w:val="003C3F1C"/>
    <w:rsid w:val="004627A6"/>
    <w:rsid w:val="005609C0"/>
    <w:rsid w:val="005779E0"/>
    <w:rsid w:val="00597010"/>
    <w:rsid w:val="005E5661"/>
    <w:rsid w:val="00637CDA"/>
    <w:rsid w:val="006962A4"/>
    <w:rsid w:val="006A7517"/>
    <w:rsid w:val="00726A77"/>
    <w:rsid w:val="007735BF"/>
    <w:rsid w:val="007C31CE"/>
    <w:rsid w:val="007E62CB"/>
    <w:rsid w:val="0080180A"/>
    <w:rsid w:val="00827245"/>
    <w:rsid w:val="0086726D"/>
    <w:rsid w:val="00870736"/>
    <w:rsid w:val="009044C8"/>
    <w:rsid w:val="00956CB4"/>
    <w:rsid w:val="00973DFA"/>
    <w:rsid w:val="00981A95"/>
    <w:rsid w:val="00987248"/>
    <w:rsid w:val="009A5480"/>
    <w:rsid w:val="009B1796"/>
    <w:rsid w:val="009E6EE8"/>
    <w:rsid w:val="00A14275"/>
    <w:rsid w:val="00A62B6D"/>
    <w:rsid w:val="00A76618"/>
    <w:rsid w:val="00A92397"/>
    <w:rsid w:val="00AA36CC"/>
    <w:rsid w:val="00AB7A84"/>
    <w:rsid w:val="00AC7AF4"/>
    <w:rsid w:val="00AE7AF1"/>
    <w:rsid w:val="00B25927"/>
    <w:rsid w:val="00B607A2"/>
    <w:rsid w:val="00B91FF1"/>
    <w:rsid w:val="00BD0F0F"/>
    <w:rsid w:val="00BD4302"/>
    <w:rsid w:val="00BE51A2"/>
    <w:rsid w:val="00BF4BF4"/>
    <w:rsid w:val="00C516C5"/>
    <w:rsid w:val="00C87D99"/>
    <w:rsid w:val="00D01F75"/>
    <w:rsid w:val="00D12E8B"/>
    <w:rsid w:val="00E668BF"/>
    <w:rsid w:val="00E7629C"/>
    <w:rsid w:val="00E85CC9"/>
    <w:rsid w:val="00EA7A41"/>
    <w:rsid w:val="00ED1775"/>
    <w:rsid w:val="00EF1243"/>
    <w:rsid w:val="00F605A4"/>
    <w:rsid w:val="00F878BD"/>
    <w:rsid w:val="00FA5E8A"/>
    <w:rsid w:val="00FD690F"/>
    <w:rsid w:val="00FE0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200"/>
  </w:style>
  <w:style w:type="paragraph" w:styleId="Heading1">
    <w:name w:val="heading 1"/>
    <w:basedOn w:val="Normal"/>
    <w:next w:val="Normal"/>
    <w:qFormat/>
    <w:rsid w:val="002C5200"/>
    <w:pPr>
      <w:keepNext/>
      <w:jc w:val="center"/>
      <w:outlineLvl w:val="0"/>
    </w:pPr>
    <w:rPr>
      <w:rFonts w:ascii="Arial" w:hAnsi="Arial"/>
      <w:b/>
    </w:rPr>
  </w:style>
  <w:style w:type="paragraph" w:styleId="Heading2">
    <w:name w:val="heading 2"/>
    <w:basedOn w:val="Normal"/>
    <w:next w:val="Normal"/>
    <w:qFormat/>
    <w:rsid w:val="002C5200"/>
    <w:pPr>
      <w:keepNext/>
      <w:jc w:val="center"/>
      <w:outlineLvl w:val="1"/>
    </w:pPr>
    <w:rPr>
      <w:rFonts w:ascii="Arial" w:hAnsi="Arial"/>
      <w:b/>
      <w:color w:val="FFFFFF"/>
    </w:rPr>
  </w:style>
  <w:style w:type="paragraph" w:styleId="Heading3">
    <w:name w:val="heading 3"/>
    <w:basedOn w:val="Normal"/>
    <w:next w:val="Normal"/>
    <w:qFormat/>
    <w:rsid w:val="002C5200"/>
    <w:pPr>
      <w:keepNext/>
      <w:outlineLvl w:val="2"/>
    </w:pPr>
    <w:rPr>
      <w:sz w:val="24"/>
    </w:rPr>
  </w:style>
  <w:style w:type="paragraph" w:styleId="Heading4">
    <w:name w:val="heading 4"/>
    <w:basedOn w:val="Normal"/>
    <w:next w:val="Normal"/>
    <w:qFormat/>
    <w:rsid w:val="002C5200"/>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5200"/>
    <w:rPr>
      <w:rFonts w:ascii="Arial Narrow" w:hAnsi="Arial Narrow"/>
      <w:b/>
    </w:rPr>
  </w:style>
  <w:style w:type="paragraph" w:styleId="Title">
    <w:name w:val="Title"/>
    <w:basedOn w:val="Normal"/>
    <w:link w:val="TitleChar"/>
    <w:qFormat/>
    <w:rsid w:val="002C520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rsid w:val="002C5200"/>
    <w:pPr>
      <w:ind w:left="360" w:hanging="432"/>
    </w:pPr>
    <w:rPr>
      <w:rFonts w:ascii="Arial" w:hAnsi="Arial"/>
    </w:rPr>
  </w:style>
  <w:style w:type="paragraph" w:styleId="BodyTextIndent">
    <w:name w:val="Body Text Indent"/>
    <w:basedOn w:val="Normal"/>
    <w:rsid w:val="002C5200"/>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rsid w:val="002C5200"/>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basedOn w:val="DefaultParagraphFont"/>
    <w:link w:val="Title"/>
    <w:rsid w:val="00A76618"/>
    <w:rPr>
      <w:b/>
      <w:noProof/>
      <w:sz w:val="22"/>
      <w:lang w:val="en-US" w:eastAsia="en-US" w:bidi="ar-SA"/>
    </w:rPr>
  </w:style>
  <w:style w:type="paragraph" w:styleId="BalloonText">
    <w:name w:val="Balloon Text"/>
    <w:basedOn w:val="Normal"/>
    <w:link w:val="BalloonTextChar"/>
    <w:rsid w:val="00827245"/>
    <w:rPr>
      <w:rFonts w:ascii="Tahoma" w:hAnsi="Tahoma" w:cs="Tahoma"/>
      <w:sz w:val="16"/>
      <w:szCs w:val="16"/>
    </w:rPr>
  </w:style>
  <w:style w:type="character" w:customStyle="1" w:styleId="BalloonTextChar">
    <w:name w:val="Balloon Text Char"/>
    <w:basedOn w:val="DefaultParagraphFont"/>
    <w:link w:val="BalloonText"/>
    <w:rsid w:val="00827245"/>
    <w:rPr>
      <w:rFonts w:ascii="Tahoma" w:hAnsi="Tahoma" w:cs="Tahoma"/>
      <w:sz w:val="16"/>
      <w:szCs w:val="16"/>
    </w:rPr>
  </w:style>
  <w:style w:type="paragraph" w:styleId="ListParagraph">
    <w:name w:val="List Paragraph"/>
    <w:basedOn w:val="Normal"/>
    <w:uiPriority w:val="34"/>
    <w:qFormat/>
    <w:rsid w:val="00294FCE"/>
    <w:pPr>
      <w:ind w:left="720"/>
      <w:contextualSpacing/>
    </w:pPr>
  </w:style>
  <w:style w:type="paragraph" w:styleId="Footer">
    <w:name w:val="footer"/>
    <w:basedOn w:val="Normal"/>
    <w:link w:val="FooterChar"/>
    <w:rsid w:val="00AE7AF1"/>
    <w:pPr>
      <w:tabs>
        <w:tab w:val="center" w:pos="4680"/>
        <w:tab w:val="right" w:pos="9360"/>
      </w:tabs>
    </w:pPr>
  </w:style>
  <w:style w:type="character" w:customStyle="1" w:styleId="FooterChar">
    <w:name w:val="Footer Char"/>
    <w:basedOn w:val="DefaultParagraphFont"/>
    <w:link w:val="Footer"/>
    <w:rsid w:val="00AE7AF1"/>
  </w:style>
  <w:style w:type="character" w:styleId="CommentReference">
    <w:name w:val="annotation reference"/>
    <w:basedOn w:val="DefaultParagraphFont"/>
    <w:rsid w:val="00981A95"/>
    <w:rPr>
      <w:sz w:val="16"/>
      <w:szCs w:val="16"/>
    </w:rPr>
  </w:style>
  <w:style w:type="paragraph" w:styleId="CommentText">
    <w:name w:val="annotation text"/>
    <w:basedOn w:val="Normal"/>
    <w:link w:val="CommentTextChar"/>
    <w:rsid w:val="00981A95"/>
  </w:style>
  <w:style w:type="character" w:customStyle="1" w:styleId="CommentTextChar">
    <w:name w:val="Comment Text Char"/>
    <w:basedOn w:val="DefaultParagraphFont"/>
    <w:link w:val="CommentText"/>
    <w:rsid w:val="00981A95"/>
  </w:style>
  <w:style w:type="paragraph" w:styleId="CommentSubject">
    <w:name w:val="annotation subject"/>
    <w:basedOn w:val="CommentText"/>
    <w:next w:val="CommentText"/>
    <w:link w:val="CommentSubjectChar"/>
    <w:rsid w:val="00981A95"/>
    <w:rPr>
      <w:b/>
      <w:bCs/>
    </w:rPr>
  </w:style>
  <w:style w:type="character" w:customStyle="1" w:styleId="CommentSubjectChar">
    <w:name w:val="Comment Subject Char"/>
    <w:basedOn w:val="CommentTextChar"/>
    <w:link w:val="CommentSubject"/>
    <w:rsid w:val="00981A9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C15F-0F27-447B-A736-94F5D750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 </vt:lpstr>
    </vt:vector>
  </TitlesOfParts>
  <Company>Staff Design</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 </dc:title>
  <dc:subject/>
  <dc:creator>coyv</dc:creator>
  <cp:keywords/>
  <cp:lastModifiedBy>Mohan</cp:lastModifiedBy>
  <cp:revision>3</cp:revision>
  <cp:lastPrinted>2000-06-16T18:28:00Z</cp:lastPrinted>
  <dcterms:created xsi:type="dcterms:W3CDTF">2011-02-02T23:14:00Z</dcterms:created>
  <dcterms:modified xsi:type="dcterms:W3CDTF">2011-02-02T23:14:00Z</dcterms:modified>
</cp:coreProperties>
</file>