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BE3B79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9040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2B241A">
        <w:rPr>
          <w:rFonts w:ascii="Times New Roman" w:hAnsi="Times New Roman"/>
          <w:sz w:val="22"/>
        </w:rPr>
        <w:t xml:space="preserve">July </w:t>
      </w:r>
      <w:r w:rsidR="00277811">
        <w:rPr>
          <w:rFonts w:ascii="Times New Roman" w:hAnsi="Times New Roman"/>
          <w:sz w:val="22"/>
        </w:rPr>
        <w:t>19,</w:t>
      </w:r>
      <w:r w:rsidR="002B241A">
        <w:rPr>
          <w:rFonts w:ascii="Times New Roman" w:hAnsi="Times New Roman"/>
          <w:sz w:val="22"/>
        </w:rPr>
        <w:t xml:space="preserve"> 2012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</w:t>
      </w:r>
      <w:r w:rsidR="002B241A">
        <w:rPr>
          <w:rFonts w:ascii="Times New Roman" w:hAnsi="Times New Roman"/>
          <w:sz w:val="22"/>
        </w:rPr>
        <w:t>rds and Specifications Engineer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2B241A">
        <w:rPr>
          <w:rFonts w:ascii="Times New Roman" w:hAnsi="Times New Roman"/>
          <w:sz w:val="22"/>
        </w:rPr>
        <w:t>206, Imported Material for Structure Backfill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this date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</w:t>
      </w:r>
      <w:r w:rsidR="002B241A">
        <w:rPr>
          <w:rFonts w:ascii="Times New Roman" w:hAnsi="Times New Roman"/>
          <w:sz w:val="22"/>
        </w:rPr>
        <w:t>a new</w:t>
      </w:r>
      <w:r>
        <w:rPr>
          <w:rFonts w:ascii="Times New Roman" w:hAnsi="Times New Roman"/>
          <w:sz w:val="22"/>
        </w:rPr>
        <w:t xml:space="preserve"> standard special provision, Revision of Section </w:t>
      </w:r>
      <w:r w:rsidR="002B241A">
        <w:rPr>
          <w:rFonts w:ascii="Times New Roman" w:hAnsi="Times New Roman"/>
          <w:sz w:val="22"/>
        </w:rPr>
        <w:t>206, Imported Material for Structure Backfill</w:t>
      </w:r>
      <w:r>
        <w:rPr>
          <w:rFonts w:ascii="Times New Roman" w:hAnsi="Times New Roman"/>
          <w:sz w:val="22"/>
        </w:rPr>
        <w:t xml:space="preserve">.  This special provision is </w:t>
      </w:r>
      <w:r w:rsidR="002B241A">
        <w:rPr>
          <w:rFonts w:ascii="Times New Roman" w:hAnsi="Times New Roman"/>
          <w:sz w:val="22"/>
        </w:rPr>
        <w:t xml:space="preserve">2 pages long. </w:t>
      </w:r>
      <w:r>
        <w:rPr>
          <w:rFonts w:ascii="Times New Roman" w:hAnsi="Times New Roman"/>
          <w:sz w:val="22"/>
        </w:rPr>
        <w:t xml:space="preserve">It is to be used in </w:t>
      </w:r>
      <w:r w:rsidR="002B241A">
        <w:rPr>
          <w:rFonts w:ascii="Times New Roman" w:hAnsi="Times New Roman"/>
          <w:sz w:val="22"/>
        </w:rPr>
        <w:t>projects having imported material for structure backfill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2B241A">
        <w:rPr>
          <w:rFonts w:ascii="Times New Roman" w:hAnsi="Times New Roman"/>
          <w:sz w:val="22"/>
        </w:rPr>
        <w:t xml:space="preserve">August </w:t>
      </w:r>
      <w:r w:rsidR="00277811">
        <w:rPr>
          <w:rFonts w:ascii="Times New Roman" w:hAnsi="Times New Roman"/>
          <w:sz w:val="22"/>
        </w:rPr>
        <w:t>16</w:t>
      </w:r>
      <w:r w:rsidR="002B241A">
        <w:rPr>
          <w:rFonts w:ascii="Times New Roman" w:hAnsi="Times New Roman"/>
          <w:sz w:val="22"/>
        </w:rPr>
        <w:t>, 2012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2B241A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new standard special provision </w:t>
      </w:r>
      <w:r w:rsidR="008D2202">
        <w:rPr>
          <w:rFonts w:ascii="Times New Roman" w:hAnsi="Times New Roman"/>
          <w:sz w:val="22"/>
        </w:rPr>
        <w:t xml:space="preserve">defines testing requirements for imported material, when this material is being used as </w:t>
      </w:r>
      <w:r w:rsidR="00277811">
        <w:rPr>
          <w:rFonts w:ascii="Times New Roman" w:hAnsi="Times New Roman"/>
          <w:sz w:val="22"/>
        </w:rPr>
        <w:t>structure</w:t>
      </w:r>
      <w:r w:rsidR="008D2202">
        <w:rPr>
          <w:rFonts w:ascii="Times New Roman" w:hAnsi="Times New Roman"/>
          <w:sz w:val="22"/>
        </w:rPr>
        <w:t xml:space="preserve"> backfill.  The testing requirements are identical to those required for imported material that is used as embankment.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8D2202">
        <w:rPr>
          <w:rFonts w:ascii="Times New Roman" w:hAnsi="Times New Roman"/>
          <w:sz w:val="22"/>
        </w:rPr>
        <w:t xml:space="preserve">add this new special provision to your file.  </w:t>
      </w:r>
      <w:r>
        <w:rPr>
          <w:rFonts w:ascii="Times New Roman" w:hAnsi="Times New Roman"/>
          <w:sz w:val="22"/>
        </w:rPr>
        <w:t xml:space="preserve">For your convenience, we are attaching a new Index of Standard Special Provisions, </w:t>
      </w:r>
      <w:r w:rsidR="008D2202">
        <w:rPr>
          <w:rFonts w:ascii="Times New Roman" w:hAnsi="Times New Roman"/>
          <w:sz w:val="22"/>
        </w:rPr>
        <w:t>which is also being issued this date</w:t>
      </w:r>
      <w:r>
        <w:rPr>
          <w:rFonts w:ascii="Times New Roman" w:hAnsi="Times New Roman"/>
          <w:sz w:val="22"/>
        </w:rPr>
        <w:t xml:space="preserve">  In addition, you will find this and other special provisions that are being issued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BE3B79" w:rsidP="006D675F">
      <w:pPr>
        <w:pStyle w:val="InsideAddress"/>
        <w:rPr>
          <w:rFonts w:ascii="Times New Roman" w:hAnsi="Times New Roman"/>
          <w:sz w:val="22"/>
        </w:rPr>
      </w:pPr>
      <w:hyperlink r:id="rId9" w:history="1">
        <w:r w:rsidR="008D2202" w:rsidRPr="00C34E0E">
          <w:rPr>
            <w:rStyle w:val="Hyperlink"/>
            <w:rFonts w:ascii="Times New Roman" w:hAnsi="Times New Roman"/>
            <w:sz w:val="22"/>
          </w:rPr>
          <w:t>http://www.coloradodot.info/business/designsupport/construction-specifications/2011-Specs</w:t>
        </w:r>
      </w:hyperlink>
    </w:p>
    <w:p w:rsidR="008D2202" w:rsidRDefault="008D2202" w:rsidP="006D675F">
      <w:pPr>
        <w:pStyle w:val="InsideAddress"/>
        <w:rPr>
          <w:rFonts w:ascii="Times New Roman" w:hAnsi="Times New Roman"/>
          <w:sz w:val="22"/>
        </w:rPr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Pr="008D2202" w:rsidRDefault="008D2202">
      <w:pPr>
        <w:pStyle w:val="InsideAddress"/>
        <w:rPr>
          <w:rFonts w:cs="Arial"/>
        </w:rPr>
      </w:pPr>
      <w:proofErr w:type="spellStart"/>
      <w:r>
        <w:rPr>
          <w:rFonts w:cs="Arial"/>
        </w:rPr>
        <w:t>m</w:t>
      </w:r>
      <w:r w:rsidR="0040705C" w:rsidRPr="008D2202">
        <w:rPr>
          <w:rFonts w:cs="Arial"/>
        </w:rPr>
        <w:t>rs</w:t>
      </w:r>
      <w:proofErr w:type="spellEnd"/>
      <w:r w:rsidRPr="008D2202">
        <w:rPr>
          <w:rFonts w:cs="Arial"/>
        </w:rPr>
        <w:t>/</w:t>
      </w:r>
      <w:proofErr w:type="spellStart"/>
      <w:r w:rsidRPr="008D2202">
        <w:rPr>
          <w:rFonts w:cs="Arial"/>
        </w:rPr>
        <w:t>lb</w:t>
      </w:r>
      <w:proofErr w:type="spellEnd"/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9" w:rsidRDefault="00BE3B79">
      <w:r>
        <w:separator/>
      </w:r>
    </w:p>
  </w:endnote>
  <w:endnote w:type="continuationSeparator" w:id="0">
    <w:p w:rsidR="00BE3B79" w:rsidRDefault="00BE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9" w:rsidRDefault="00BE3B79">
      <w:r>
        <w:separator/>
      </w:r>
    </w:p>
  </w:footnote>
  <w:footnote w:type="continuationSeparator" w:id="0">
    <w:p w:rsidR="00BE3B79" w:rsidRDefault="00BE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C68FD">
      <w:rPr>
        <w:noProof/>
      </w:rPr>
      <w:t>July 17, 2012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5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439AB"/>
    <w:rsid w:val="00277811"/>
    <w:rsid w:val="002B241A"/>
    <w:rsid w:val="00392223"/>
    <w:rsid w:val="0040705C"/>
    <w:rsid w:val="0068532F"/>
    <w:rsid w:val="006D675F"/>
    <w:rsid w:val="006F2EA0"/>
    <w:rsid w:val="008D2202"/>
    <w:rsid w:val="00A322B2"/>
    <w:rsid w:val="00AA00AF"/>
    <w:rsid w:val="00BE3B79"/>
    <w:rsid w:val="00F3636D"/>
    <w:rsid w:val="00F917B4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1786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1999-05-04T19:40:00Z</cp:lastPrinted>
  <dcterms:created xsi:type="dcterms:W3CDTF">2012-07-17T20:25:00Z</dcterms:created>
  <dcterms:modified xsi:type="dcterms:W3CDTF">2012-07-17T20:25:00Z</dcterms:modified>
  <cp:category>Letter</cp:category>
</cp:coreProperties>
</file>