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0D1" w:rsidRDefault="004830D1" w:rsidP="004830D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sz w:val="28"/>
          <w:szCs w:val="28"/>
        </w:rPr>
      </w:pPr>
      <w:r>
        <w:rPr>
          <w:rFonts w:ascii="Arial" w:hAnsi="Arial" w:cs="Arial"/>
          <w:sz w:val="28"/>
          <w:szCs w:val="28"/>
        </w:rPr>
        <w:t>January 31, 2013</w:t>
      </w:r>
    </w:p>
    <w:p w:rsidR="004830D1" w:rsidRDefault="004830D1" w:rsidP="004830D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Arial" w:hAnsi="Arial" w:cs="Arial"/>
          <w:sz w:val="28"/>
          <w:szCs w:val="28"/>
        </w:rPr>
      </w:pPr>
    </w:p>
    <w:p w:rsidR="004830D1" w:rsidRDefault="004830D1" w:rsidP="004830D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REVISION OF SECTION 208</w:t>
      </w:r>
    </w:p>
    <w:p w:rsidR="004830D1" w:rsidRDefault="004830D1" w:rsidP="004830D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AGGREGATE BAG</w:t>
      </w:r>
      <w:bookmarkStart w:id="0" w:name="_GoBack"/>
      <w:bookmarkEnd w:id="0"/>
    </w:p>
    <w:p w:rsidR="004830D1" w:rsidRDefault="004830D1" w:rsidP="004830D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4830D1" w:rsidRDefault="004830D1" w:rsidP="004830D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4830D1" w:rsidRDefault="004830D1" w:rsidP="004830D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Pr>
          <w:b/>
          <w:bCs/>
          <w:sz w:val="40"/>
          <w:szCs w:val="40"/>
        </w:rPr>
        <w:t>NOTICE</w:t>
      </w:r>
    </w:p>
    <w:p w:rsidR="004830D1" w:rsidRDefault="004830D1" w:rsidP="004830D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4830D1" w:rsidRDefault="004830D1" w:rsidP="004830D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4830D1" w:rsidRDefault="004830D1" w:rsidP="004830D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rsidR="004830D1" w:rsidRDefault="004830D1" w:rsidP="004830D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4830D1" w:rsidRDefault="004830D1" w:rsidP="004830D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rsidR="004830D1" w:rsidRDefault="004830D1" w:rsidP="004830D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4830D1" w:rsidRDefault="004830D1" w:rsidP="004830D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rFonts w:ascii="Photina" w:hAnsi="Photina" w:cs="Photina"/>
          <w:b/>
          <w:bCs/>
          <w:color w:val="800000"/>
          <w:sz w:val="28"/>
          <w:szCs w:val="28"/>
        </w:rPr>
        <w:t xml:space="preserve">Instructions for use on CDOT construction projects:  </w:t>
      </w:r>
    </w:p>
    <w:p w:rsidR="004830D1" w:rsidRDefault="004830D1" w:rsidP="004830D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4830D1" w:rsidRDefault="004830D1" w:rsidP="004830D1">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28"/>
          <w:szCs w:val="28"/>
        </w:rPr>
        <w:t xml:space="preserve">Use in projects having </w:t>
      </w:r>
      <w:r>
        <w:rPr>
          <w:sz w:val="28"/>
          <w:szCs w:val="28"/>
        </w:rPr>
        <w:t>aggregate bags</w:t>
      </w:r>
      <w:r>
        <w:rPr>
          <w:sz w:val="28"/>
          <w:szCs w:val="28"/>
        </w:rPr>
        <w:t>.</w:t>
      </w:r>
    </w:p>
    <w:p w:rsidR="0084281F" w:rsidRDefault="004830D1" w:rsidP="004830D1">
      <w:pPr>
        <w:rPr>
          <w:sz w:val="22"/>
        </w:rPr>
      </w:pPr>
      <w:r>
        <w:br w:type="page"/>
      </w:r>
    </w:p>
    <w:p w:rsidR="00C93E02" w:rsidRPr="004830D1" w:rsidRDefault="00C93E02" w:rsidP="004830D1">
      <w:pPr>
        <w:pStyle w:val="Standard"/>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atLeast"/>
        <w:jc w:val="right"/>
        <w:rPr>
          <w:rFonts w:ascii="Arial" w:hAnsi="Arial" w:cs="Arial"/>
        </w:rPr>
      </w:pPr>
      <w:r>
        <w:rPr>
          <w:rFonts w:ascii="Times New Roman" w:hAnsi="Times New Roman"/>
          <w:sz w:val="22"/>
        </w:rPr>
        <w:tab/>
      </w:r>
      <w:r w:rsidR="004830D1">
        <w:rPr>
          <w:rFonts w:ascii="Arial" w:hAnsi="Arial" w:cs="Arial"/>
          <w:sz w:val="22"/>
        </w:rPr>
        <w:t>January 31, 2013</w:t>
      </w:r>
    </w:p>
    <w:p w:rsidR="00C93E02" w:rsidRDefault="00C93E02">
      <w:pPr>
        <w:pStyle w:val="Standard"/>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s>
        <w:spacing w:line="240" w:lineRule="atLeast"/>
        <w:jc w:val="center"/>
        <w:rPr>
          <w:rFonts w:ascii="Times New Roman" w:hAnsi="Times New Roman"/>
          <w:sz w:val="22"/>
        </w:rPr>
      </w:pPr>
    </w:p>
    <w:p w:rsidR="00C93E02" w:rsidRPr="0084281F" w:rsidRDefault="00C93E02">
      <w:pPr>
        <w:pStyle w:val="Standard"/>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s>
        <w:spacing w:line="240" w:lineRule="atLeast"/>
        <w:jc w:val="center"/>
        <w:rPr>
          <w:rFonts w:ascii="Arial" w:hAnsi="Arial" w:cs="Arial"/>
        </w:rPr>
      </w:pPr>
      <w:r w:rsidRPr="0084281F">
        <w:rPr>
          <w:rFonts w:ascii="Arial" w:hAnsi="Arial" w:cs="Arial"/>
        </w:rPr>
        <w:t>REVISION OF SECTION 208</w:t>
      </w:r>
    </w:p>
    <w:p w:rsidR="00C93E02" w:rsidRPr="0084281F" w:rsidRDefault="00C93E02">
      <w:pPr>
        <w:pStyle w:val="Standard"/>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s>
        <w:spacing w:line="240" w:lineRule="atLeast"/>
        <w:jc w:val="center"/>
        <w:rPr>
          <w:rFonts w:ascii="Arial" w:hAnsi="Arial" w:cs="Arial"/>
        </w:rPr>
      </w:pPr>
      <w:r w:rsidRPr="0084281F">
        <w:rPr>
          <w:rFonts w:ascii="Arial" w:hAnsi="Arial" w:cs="Arial"/>
        </w:rPr>
        <w:t>AGGREGATE BAG</w:t>
      </w:r>
    </w:p>
    <w:p w:rsidR="00C93E02" w:rsidRPr="0084281F" w:rsidRDefault="00C93E02">
      <w:pPr>
        <w:pStyle w:val="Standard"/>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spacing w:line="240" w:lineRule="atLeast"/>
        <w:rPr>
          <w:rFonts w:ascii="Arial" w:hAnsi="Arial" w:cs="Arial"/>
        </w:rPr>
      </w:pPr>
    </w:p>
    <w:p w:rsidR="00C93E02" w:rsidRPr="0084281F" w:rsidRDefault="00C93E02">
      <w:pPr>
        <w:pStyle w:val="Standard"/>
        <w:tabs>
          <w:tab w:val="left" w:pos="0"/>
          <w:tab w:val="left" w:pos="432"/>
          <w:tab w:val="left" w:pos="864"/>
          <w:tab w:val="left" w:pos="1296"/>
          <w:tab w:val="left" w:pos="1728"/>
          <w:tab w:val="left" w:pos="2160"/>
          <w:tab w:val="left" w:pos="2592"/>
          <w:tab w:val="left" w:pos="3024"/>
          <w:tab w:val="left" w:pos="3456"/>
          <w:tab w:val="left" w:pos="3888"/>
          <w:tab w:val="left" w:pos="4320"/>
        </w:tabs>
        <w:spacing w:line="240" w:lineRule="atLeast"/>
        <w:rPr>
          <w:rFonts w:ascii="Arial" w:hAnsi="Arial" w:cs="Arial"/>
        </w:rPr>
      </w:pPr>
      <w:r w:rsidRPr="0084281F">
        <w:rPr>
          <w:rFonts w:ascii="Arial" w:hAnsi="Arial" w:cs="Arial"/>
        </w:rPr>
        <w:t>Section 208 of the Standard Specifications is hereby revised for this project as follows:</w:t>
      </w:r>
    </w:p>
    <w:p w:rsidR="00C93E02" w:rsidRPr="0084281F" w:rsidRDefault="00C93E02">
      <w:pPr>
        <w:pStyle w:val="Standard"/>
        <w:tabs>
          <w:tab w:val="left" w:pos="0"/>
          <w:tab w:val="left" w:pos="432"/>
          <w:tab w:val="left" w:pos="864"/>
          <w:tab w:val="left" w:pos="1296"/>
          <w:tab w:val="left" w:pos="1728"/>
          <w:tab w:val="left" w:pos="2160"/>
          <w:tab w:val="left" w:pos="2592"/>
          <w:tab w:val="left" w:pos="3024"/>
          <w:tab w:val="left" w:pos="3456"/>
        </w:tabs>
        <w:spacing w:line="240" w:lineRule="atLeast"/>
        <w:rPr>
          <w:rFonts w:ascii="Arial" w:hAnsi="Arial" w:cs="Arial"/>
        </w:rPr>
      </w:pPr>
    </w:p>
    <w:p w:rsidR="00C93E02" w:rsidRPr="0084281F" w:rsidRDefault="00C93E02">
      <w:pPr>
        <w:pStyle w:val="Standard"/>
        <w:tabs>
          <w:tab w:val="left" w:pos="0"/>
          <w:tab w:val="left" w:pos="432"/>
          <w:tab w:val="left" w:pos="864"/>
          <w:tab w:val="left" w:pos="1296"/>
          <w:tab w:val="left" w:pos="1728"/>
        </w:tabs>
        <w:spacing w:line="240" w:lineRule="atLeast"/>
        <w:rPr>
          <w:rFonts w:ascii="Arial" w:hAnsi="Arial" w:cs="Arial"/>
        </w:rPr>
      </w:pPr>
      <w:r w:rsidRPr="0084281F">
        <w:rPr>
          <w:rFonts w:ascii="Arial" w:hAnsi="Arial" w:cs="Arial"/>
        </w:rPr>
        <w:t>In subsection 208.02 delete (l) and replace with the following:</w:t>
      </w:r>
    </w:p>
    <w:p w:rsidR="00C93E02" w:rsidRPr="0084281F" w:rsidRDefault="00C93E02">
      <w:pPr>
        <w:pStyle w:val="ListParagraph"/>
        <w:tabs>
          <w:tab w:val="left" w:pos="0"/>
          <w:tab w:val="left" w:pos="432"/>
          <w:tab w:val="left" w:pos="864"/>
          <w:tab w:val="left" w:pos="1296"/>
          <w:tab w:val="left" w:pos="1728"/>
        </w:tabs>
        <w:spacing w:line="240" w:lineRule="atLeast"/>
        <w:rPr>
          <w:rFonts w:ascii="Arial" w:hAnsi="Arial" w:cs="Arial"/>
          <w:sz w:val="20"/>
          <w:szCs w:val="20"/>
        </w:rPr>
      </w:pPr>
    </w:p>
    <w:p w:rsidR="00C93E02" w:rsidRPr="0084281F" w:rsidRDefault="00C93E02" w:rsidP="00ED2EF6">
      <w:pPr>
        <w:pStyle w:val="ListParagraph"/>
        <w:numPr>
          <w:ilvl w:val="0"/>
          <w:numId w:val="10"/>
        </w:numPr>
        <w:tabs>
          <w:tab w:val="left" w:pos="0"/>
          <w:tab w:val="left" w:pos="360"/>
          <w:tab w:val="left" w:pos="864"/>
          <w:tab w:val="left" w:pos="1296"/>
          <w:tab w:val="left" w:pos="1728"/>
        </w:tabs>
        <w:spacing w:line="240" w:lineRule="atLeast"/>
        <w:ind w:hanging="270"/>
        <w:rPr>
          <w:rFonts w:ascii="Arial" w:hAnsi="Arial" w:cs="Arial"/>
          <w:sz w:val="20"/>
          <w:szCs w:val="20"/>
        </w:rPr>
      </w:pPr>
      <w:r w:rsidRPr="0084281F">
        <w:rPr>
          <w:rFonts w:ascii="Arial" w:hAnsi="Arial" w:cs="Arial"/>
          <w:i/>
          <w:sz w:val="20"/>
          <w:szCs w:val="20"/>
        </w:rPr>
        <w:t xml:space="preserve">Aggregate Bag.  </w:t>
      </w:r>
      <w:r w:rsidRPr="0084281F">
        <w:rPr>
          <w:rFonts w:ascii="Arial" w:hAnsi="Arial" w:cs="Arial"/>
          <w:sz w:val="20"/>
          <w:szCs w:val="20"/>
        </w:rPr>
        <w:t xml:space="preserve">Aggregate bags shall consist of </w:t>
      </w:r>
      <w:r w:rsidRPr="0084281F">
        <w:rPr>
          <w:rFonts w:ascii="Arial" w:hAnsi="Arial" w:cs="Arial"/>
          <w:bCs/>
          <w:sz w:val="20"/>
          <w:szCs w:val="20"/>
        </w:rPr>
        <w:t>crushed stone</w:t>
      </w:r>
      <w:r w:rsidRPr="0084281F">
        <w:rPr>
          <w:rFonts w:ascii="Arial" w:hAnsi="Arial" w:cs="Arial"/>
          <w:sz w:val="20"/>
          <w:szCs w:val="20"/>
        </w:rPr>
        <w:t xml:space="preserve"> or recycled rubber filled fabric with the following properties:</w:t>
      </w:r>
    </w:p>
    <w:p w:rsidR="00C93E02" w:rsidRPr="0084281F" w:rsidRDefault="00C93E02">
      <w:pPr>
        <w:pStyle w:val="Standard"/>
        <w:tabs>
          <w:tab w:val="left" w:pos="0"/>
          <w:tab w:val="left" w:pos="432"/>
          <w:tab w:val="left" w:pos="864"/>
          <w:tab w:val="left" w:pos="1296"/>
          <w:tab w:val="left" w:pos="1728"/>
        </w:tabs>
        <w:spacing w:line="240" w:lineRule="atLeast"/>
        <w:rPr>
          <w:rFonts w:ascii="Arial" w:hAnsi="Arial" w:cs="Arial"/>
        </w:rPr>
      </w:pPr>
    </w:p>
    <w:tbl>
      <w:tblPr>
        <w:tblW w:w="4094" w:type="dxa"/>
        <w:jc w:val="center"/>
        <w:tblLayout w:type="fixed"/>
        <w:tblCellMar>
          <w:left w:w="10" w:type="dxa"/>
          <w:right w:w="10" w:type="dxa"/>
        </w:tblCellMar>
        <w:tblLook w:val="0000" w:firstRow="0" w:lastRow="0" w:firstColumn="0" w:lastColumn="0" w:noHBand="0" w:noVBand="0"/>
      </w:tblPr>
      <w:tblGrid>
        <w:gridCol w:w="1995"/>
        <w:gridCol w:w="2099"/>
      </w:tblGrid>
      <w:tr w:rsidR="00C93E02" w:rsidRPr="0084281F" w:rsidTr="004830D1">
        <w:trPr>
          <w:trHeight w:val="283"/>
          <w:jc w:val="center"/>
        </w:trPr>
        <w:tc>
          <w:tcPr>
            <w:tcW w:w="1995" w:type="dxa"/>
            <w:tcBorders>
              <w:top w:val="double" w:sz="4" w:space="0" w:color="auto"/>
              <w:left w:val="double" w:sz="4" w:space="0" w:color="auto"/>
              <w:bottom w:val="single" w:sz="2" w:space="0" w:color="231F20"/>
              <w:right w:val="single" w:sz="2" w:space="0" w:color="231F20"/>
            </w:tcBorders>
            <w:shd w:val="clear" w:color="auto" w:fill="FFFFFF"/>
            <w:tcMar>
              <w:top w:w="0" w:type="dxa"/>
              <w:left w:w="10" w:type="dxa"/>
              <w:bottom w:w="0" w:type="dxa"/>
              <w:right w:w="10" w:type="dxa"/>
            </w:tcMar>
          </w:tcPr>
          <w:p w:rsidR="00C93E02" w:rsidRPr="0084281F" w:rsidRDefault="00C93E02">
            <w:pPr>
              <w:pStyle w:val="Standard"/>
              <w:spacing w:before="38"/>
              <w:ind w:left="193" w:right="-20"/>
              <w:jc w:val="center"/>
              <w:rPr>
                <w:rFonts w:ascii="Arial" w:hAnsi="Arial" w:cs="Arial"/>
              </w:rPr>
            </w:pPr>
            <w:r w:rsidRPr="0084281F">
              <w:rPr>
                <w:rFonts w:ascii="Arial" w:hAnsi="Arial" w:cs="Arial"/>
                <w:b/>
                <w:bCs/>
                <w:spacing w:val="3"/>
              </w:rPr>
              <w:t>D</w:t>
            </w:r>
            <w:r w:rsidRPr="0084281F">
              <w:rPr>
                <w:rFonts w:ascii="Arial" w:hAnsi="Arial" w:cs="Arial"/>
                <w:b/>
                <w:bCs/>
                <w:spacing w:val="2"/>
              </w:rPr>
              <w:t>ia</w:t>
            </w:r>
            <w:r w:rsidRPr="0084281F">
              <w:rPr>
                <w:rFonts w:ascii="Arial" w:hAnsi="Arial" w:cs="Arial"/>
                <w:b/>
                <w:bCs/>
                <w:spacing w:val="1"/>
              </w:rPr>
              <w:t>me</w:t>
            </w:r>
            <w:r w:rsidRPr="0084281F">
              <w:rPr>
                <w:rFonts w:ascii="Arial" w:hAnsi="Arial" w:cs="Arial"/>
                <w:b/>
                <w:bCs/>
                <w:spacing w:val="2"/>
              </w:rPr>
              <w:t>t</w:t>
            </w:r>
            <w:r w:rsidRPr="0084281F">
              <w:rPr>
                <w:rFonts w:ascii="Arial" w:hAnsi="Arial" w:cs="Arial"/>
                <w:b/>
                <w:bCs/>
                <w:spacing w:val="1"/>
              </w:rPr>
              <w:t>e</w:t>
            </w:r>
            <w:r w:rsidRPr="0084281F">
              <w:rPr>
                <w:rFonts w:ascii="Arial" w:hAnsi="Arial" w:cs="Arial"/>
                <w:b/>
                <w:bCs/>
              </w:rPr>
              <w:t>r</w:t>
            </w:r>
            <w:r w:rsidR="004830D1">
              <w:rPr>
                <w:rFonts w:ascii="Arial" w:hAnsi="Arial" w:cs="Arial"/>
                <w:b/>
                <w:bCs/>
              </w:rPr>
              <w:t xml:space="preserve"> (inches)</w:t>
            </w:r>
          </w:p>
        </w:tc>
        <w:tc>
          <w:tcPr>
            <w:tcW w:w="2099" w:type="dxa"/>
            <w:tcBorders>
              <w:top w:val="double" w:sz="4" w:space="0" w:color="auto"/>
              <w:left w:val="single" w:sz="2" w:space="0" w:color="231F20"/>
              <w:bottom w:val="single" w:sz="2" w:space="0" w:color="231F20"/>
              <w:right w:val="double" w:sz="4" w:space="0" w:color="auto"/>
            </w:tcBorders>
            <w:shd w:val="clear" w:color="auto" w:fill="FFFFFF"/>
            <w:tcMar>
              <w:top w:w="0" w:type="dxa"/>
              <w:left w:w="10" w:type="dxa"/>
              <w:bottom w:w="0" w:type="dxa"/>
              <w:right w:w="10" w:type="dxa"/>
            </w:tcMar>
          </w:tcPr>
          <w:p w:rsidR="004830D1" w:rsidRDefault="00C93E02">
            <w:pPr>
              <w:pStyle w:val="Standard"/>
              <w:spacing w:before="38"/>
              <w:ind w:left="172" w:right="-20"/>
              <w:jc w:val="center"/>
              <w:rPr>
                <w:rFonts w:ascii="Arial" w:hAnsi="Arial" w:cs="Arial"/>
                <w:b/>
                <w:bCs/>
              </w:rPr>
            </w:pPr>
            <w:r w:rsidRPr="0084281F">
              <w:rPr>
                <w:rFonts w:ascii="Arial" w:hAnsi="Arial" w:cs="Arial"/>
                <w:b/>
                <w:bCs/>
                <w:spacing w:val="-9"/>
              </w:rPr>
              <w:t>W</w:t>
            </w:r>
            <w:r w:rsidRPr="0084281F">
              <w:rPr>
                <w:rFonts w:ascii="Arial" w:hAnsi="Arial" w:cs="Arial"/>
                <w:b/>
                <w:bCs/>
                <w:spacing w:val="2"/>
              </w:rPr>
              <w:t>ei</w:t>
            </w:r>
            <w:r w:rsidRPr="0084281F">
              <w:rPr>
                <w:rFonts w:ascii="Arial" w:hAnsi="Arial" w:cs="Arial"/>
                <w:b/>
                <w:bCs/>
                <w:spacing w:val="3"/>
              </w:rPr>
              <w:t>g</w:t>
            </w:r>
            <w:r w:rsidRPr="0084281F">
              <w:rPr>
                <w:rFonts w:ascii="Arial" w:hAnsi="Arial" w:cs="Arial"/>
                <w:b/>
                <w:bCs/>
                <w:spacing w:val="-1"/>
              </w:rPr>
              <w:t>h</w:t>
            </w:r>
            <w:r w:rsidRPr="0084281F">
              <w:rPr>
                <w:rFonts w:ascii="Arial" w:hAnsi="Arial" w:cs="Arial"/>
                <w:b/>
                <w:bCs/>
              </w:rPr>
              <w:t xml:space="preserve">t </w:t>
            </w:r>
            <w:r w:rsidRPr="0084281F">
              <w:rPr>
                <w:rFonts w:ascii="Arial" w:hAnsi="Arial" w:cs="Arial"/>
                <w:b/>
                <w:bCs/>
                <w:spacing w:val="1"/>
              </w:rPr>
              <w:t>(</w:t>
            </w:r>
            <w:r w:rsidRPr="0084281F">
              <w:rPr>
                <w:rFonts w:ascii="Arial" w:hAnsi="Arial" w:cs="Arial"/>
                <w:b/>
                <w:bCs/>
                <w:spacing w:val="5"/>
              </w:rPr>
              <w:t>m</w:t>
            </w:r>
            <w:r w:rsidRPr="0084281F">
              <w:rPr>
                <w:rFonts w:ascii="Arial" w:hAnsi="Arial" w:cs="Arial"/>
                <w:b/>
                <w:bCs/>
                <w:spacing w:val="4"/>
              </w:rPr>
              <w:t>ini</w:t>
            </w:r>
            <w:r w:rsidRPr="0084281F">
              <w:rPr>
                <w:rFonts w:ascii="Arial" w:hAnsi="Arial" w:cs="Arial"/>
                <w:b/>
                <w:bCs/>
                <w:spacing w:val="-1"/>
              </w:rPr>
              <w:t>m</w:t>
            </w:r>
            <w:r w:rsidRPr="0084281F">
              <w:rPr>
                <w:rFonts w:ascii="Arial" w:hAnsi="Arial" w:cs="Arial"/>
                <w:b/>
                <w:bCs/>
                <w:spacing w:val="3"/>
              </w:rPr>
              <w:t>u</w:t>
            </w:r>
            <w:r w:rsidRPr="0084281F">
              <w:rPr>
                <w:rFonts w:ascii="Arial" w:hAnsi="Arial" w:cs="Arial"/>
                <w:b/>
                <w:bCs/>
                <w:spacing w:val="2"/>
              </w:rPr>
              <w:t>m</w:t>
            </w:r>
            <w:r w:rsidRPr="0084281F">
              <w:rPr>
                <w:rFonts w:ascii="Arial" w:hAnsi="Arial" w:cs="Arial"/>
                <w:b/>
                <w:bCs/>
              </w:rPr>
              <w:t>)</w:t>
            </w:r>
            <w:r w:rsidR="004830D1">
              <w:rPr>
                <w:rFonts w:ascii="Arial" w:hAnsi="Arial" w:cs="Arial"/>
                <w:b/>
                <w:bCs/>
              </w:rPr>
              <w:t xml:space="preserve"> </w:t>
            </w:r>
          </w:p>
          <w:p w:rsidR="00C93E02" w:rsidRPr="0084281F" w:rsidRDefault="004830D1">
            <w:pPr>
              <w:pStyle w:val="Standard"/>
              <w:spacing w:before="38"/>
              <w:ind w:left="172" w:right="-20"/>
              <w:jc w:val="center"/>
              <w:rPr>
                <w:rFonts w:ascii="Arial" w:hAnsi="Arial" w:cs="Arial"/>
              </w:rPr>
            </w:pPr>
            <w:r>
              <w:rPr>
                <w:rFonts w:ascii="Arial" w:hAnsi="Arial" w:cs="Arial"/>
                <w:b/>
                <w:bCs/>
              </w:rPr>
              <w:t>(pounds per foot)</w:t>
            </w:r>
          </w:p>
        </w:tc>
      </w:tr>
      <w:tr w:rsidR="00C93E02" w:rsidRPr="0084281F" w:rsidTr="004830D1">
        <w:trPr>
          <w:trHeight w:val="284"/>
          <w:jc w:val="center"/>
        </w:trPr>
        <w:tc>
          <w:tcPr>
            <w:tcW w:w="1995" w:type="dxa"/>
            <w:tcBorders>
              <w:top w:val="single" w:sz="2" w:space="0" w:color="231F20"/>
              <w:left w:val="double" w:sz="4" w:space="0" w:color="auto"/>
              <w:right w:val="single" w:sz="2" w:space="0" w:color="231F20"/>
            </w:tcBorders>
            <w:shd w:val="clear" w:color="auto" w:fill="BFBFBF"/>
            <w:tcMar>
              <w:top w:w="0" w:type="dxa"/>
              <w:left w:w="10" w:type="dxa"/>
              <w:bottom w:w="0" w:type="dxa"/>
              <w:right w:w="10" w:type="dxa"/>
            </w:tcMar>
          </w:tcPr>
          <w:p w:rsidR="00C93E02" w:rsidRPr="0084281F" w:rsidRDefault="00C93E02" w:rsidP="004830D1">
            <w:pPr>
              <w:pStyle w:val="Standard"/>
              <w:spacing w:before="45"/>
              <w:ind w:left="291" w:right="-20"/>
              <w:jc w:val="center"/>
              <w:rPr>
                <w:rFonts w:ascii="Arial" w:hAnsi="Arial" w:cs="Arial"/>
              </w:rPr>
            </w:pPr>
            <w:r w:rsidRPr="0084281F">
              <w:rPr>
                <w:rFonts w:ascii="Arial" w:hAnsi="Arial" w:cs="Arial"/>
                <w:spacing w:val="-4"/>
              </w:rPr>
              <w:t>6-8</w:t>
            </w:r>
            <w:r w:rsidRPr="0084281F">
              <w:rPr>
                <w:rFonts w:ascii="Arial" w:hAnsi="Arial" w:cs="Arial"/>
              </w:rPr>
              <w:t xml:space="preserve"> </w:t>
            </w:r>
          </w:p>
        </w:tc>
        <w:tc>
          <w:tcPr>
            <w:tcW w:w="2099" w:type="dxa"/>
            <w:tcBorders>
              <w:top w:val="single" w:sz="2" w:space="0" w:color="231F20"/>
              <w:left w:val="single" w:sz="2" w:space="0" w:color="231F20"/>
              <w:right w:val="double" w:sz="4" w:space="0" w:color="auto"/>
            </w:tcBorders>
            <w:shd w:val="clear" w:color="auto" w:fill="BFBFBF"/>
            <w:tcMar>
              <w:top w:w="0" w:type="dxa"/>
              <w:left w:w="10" w:type="dxa"/>
              <w:bottom w:w="0" w:type="dxa"/>
              <w:right w:w="10" w:type="dxa"/>
            </w:tcMar>
          </w:tcPr>
          <w:p w:rsidR="00C93E02" w:rsidRPr="0084281F" w:rsidRDefault="00C93E02" w:rsidP="004830D1">
            <w:pPr>
              <w:pStyle w:val="Standard"/>
              <w:spacing w:before="45"/>
              <w:ind w:left="108" w:right="-20"/>
              <w:jc w:val="center"/>
              <w:rPr>
                <w:rFonts w:ascii="Arial" w:hAnsi="Arial" w:cs="Arial"/>
              </w:rPr>
            </w:pPr>
            <w:r w:rsidRPr="0084281F">
              <w:rPr>
                <w:rFonts w:ascii="Arial" w:hAnsi="Arial" w:cs="Arial"/>
                <w:spacing w:val="1"/>
              </w:rPr>
              <w:t>6</w:t>
            </w:r>
            <w:r w:rsidRPr="0084281F">
              <w:rPr>
                <w:rFonts w:ascii="Arial" w:hAnsi="Arial" w:cs="Arial"/>
              </w:rPr>
              <w:t xml:space="preserve"> </w:t>
            </w:r>
          </w:p>
        </w:tc>
      </w:tr>
      <w:tr w:rsidR="00C93E02" w:rsidRPr="0084281F" w:rsidTr="004830D1">
        <w:trPr>
          <w:trHeight w:val="285"/>
          <w:jc w:val="center"/>
        </w:trPr>
        <w:tc>
          <w:tcPr>
            <w:tcW w:w="1995" w:type="dxa"/>
            <w:tcBorders>
              <w:left w:val="double" w:sz="4" w:space="0" w:color="auto"/>
              <w:right w:val="single" w:sz="2" w:space="0" w:color="231F20"/>
            </w:tcBorders>
            <w:shd w:val="clear" w:color="auto" w:fill="FFFFFF"/>
            <w:tcMar>
              <w:top w:w="0" w:type="dxa"/>
              <w:left w:w="10" w:type="dxa"/>
              <w:bottom w:w="0" w:type="dxa"/>
              <w:right w:w="10" w:type="dxa"/>
            </w:tcMar>
          </w:tcPr>
          <w:p w:rsidR="00C93E02" w:rsidRPr="0084281F" w:rsidRDefault="00C93E02" w:rsidP="004830D1">
            <w:pPr>
              <w:pStyle w:val="Standard"/>
              <w:spacing w:before="45"/>
              <w:ind w:left="291" w:right="-20"/>
              <w:jc w:val="center"/>
              <w:rPr>
                <w:rFonts w:ascii="Arial" w:hAnsi="Arial" w:cs="Arial"/>
              </w:rPr>
            </w:pPr>
            <w:r w:rsidRPr="0084281F">
              <w:rPr>
                <w:rFonts w:ascii="Arial" w:hAnsi="Arial" w:cs="Arial"/>
                <w:spacing w:val="-4"/>
              </w:rPr>
              <w:t>10</w:t>
            </w:r>
            <w:r w:rsidRPr="0084281F">
              <w:rPr>
                <w:rFonts w:ascii="Arial" w:hAnsi="Arial" w:cs="Arial"/>
              </w:rPr>
              <w:t xml:space="preserve"> </w:t>
            </w:r>
          </w:p>
        </w:tc>
        <w:tc>
          <w:tcPr>
            <w:tcW w:w="2099" w:type="dxa"/>
            <w:tcBorders>
              <w:left w:val="single" w:sz="2" w:space="0" w:color="231F20"/>
              <w:right w:val="double" w:sz="4" w:space="0" w:color="auto"/>
            </w:tcBorders>
            <w:shd w:val="clear" w:color="auto" w:fill="FFFFFF"/>
            <w:tcMar>
              <w:top w:w="0" w:type="dxa"/>
              <w:left w:w="10" w:type="dxa"/>
              <w:bottom w:w="0" w:type="dxa"/>
              <w:right w:w="10" w:type="dxa"/>
            </w:tcMar>
          </w:tcPr>
          <w:p w:rsidR="00C93E02" w:rsidRPr="0084281F" w:rsidRDefault="00C93E02" w:rsidP="004830D1">
            <w:pPr>
              <w:pStyle w:val="Standard"/>
              <w:spacing w:before="45"/>
              <w:ind w:left="108" w:right="-20"/>
              <w:jc w:val="center"/>
              <w:rPr>
                <w:rFonts w:ascii="Arial" w:hAnsi="Arial" w:cs="Arial"/>
              </w:rPr>
            </w:pPr>
            <w:r w:rsidRPr="0084281F">
              <w:rPr>
                <w:rFonts w:ascii="Arial" w:hAnsi="Arial" w:cs="Arial"/>
                <w:spacing w:val="1"/>
              </w:rPr>
              <w:t xml:space="preserve">10 </w:t>
            </w:r>
          </w:p>
        </w:tc>
      </w:tr>
      <w:tr w:rsidR="00C93E02" w:rsidRPr="0084281F" w:rsidTr="004830D1">
        <w:trPr>
          <w:trHeight w:val="285"/>
          <w:jc w:val="center"/>
        </w:trPr>
        <w:tc>
          <w:tcPr>
            <w:tcW w:w="1995" w:type="dxa"/>
            <w:tcBorders>
              <w:left w:val="double" w:sz="4" w:space="0" w:color="auto"/>
              <w:bottom w:val="double" w:sz="4" w:space="0" w:color="auto"/>
              <w:right w:val="single" w:sz="2" w:space="0" w:color="231F20"/>
            </w:tcBorders>
            <w:shd w:val="clear" w:color="auto" w:fill="BFBFBF"/>
            <w:tcMar>
              <w:top w:w="0" w:type="dxa"/>
              <w:left w:w="10" w:type="dxa"/>
              <w:bottom w:w="0" w:type="dxa"/>
              <w:right w:w="10" w:type="dxa"/>
            </w:tcMar>
          </w:tcPr>
          <w:p w:rsidR="00C93E02" w:rsidRPr="0084281F" w:rsidRDefault="00C93E02" w:rsidP="004830D1">
            <w:pPr>
              <w:pStyle w:val="Standard"/>
              <w:spacing w:before="45"/>
              <w:ind w:left="289" w:right="-20"/>
              <w:jc w:val="center"/>
              <w:rPr>
                <w:rFonts w:ascii="Arial" w:hAnsi="Arial" w:cs="Arial"/>
              </w:rPr>
            </w:pPr>
            <w:r w:rsidRPr="0084281F">
              <w:rPr>
                <w:rFonts w:ascii="Arial" w:hAnsi="Arial" w:cs="Arial"/>
              </w:rPr>
              <w:t xml:space="preserve">12 </w:t>
            </w:r>
          </w:p>
        </w:tc>
        <w:tc>
          <w:tcPr>
            <w:tcW w:w="2099" w:type="dxa"/>
            <w:tcBorders>
              <w:left w:val="single" w:sz="2" w:space="0" w:color="231F20"/>
              <w:bottom w:val="double" w:sz="4" w:space="0" w:color="auto"/>
              <w:right w:val="double" w:sz="4" w:space="0" w:color="auto"/>
            </w:tcBorders>
            <w:shd w:val="clear" w:color="auto" w:fill="BFBFBF"/>
            <w:tcMar>
              <w:top w:w="0" w:type="dxa"/>
              <w:left w:w="10" w:type="dxa"/>
              <w:bottom w:w="0" w:type="dxa"/>
              <w:right w:w="10" w:type="dxa"/>
            </w:tcMar>
          </w:tcPr>
          <w:p w:rsidR="00C93E02" w:rsidRPr="0084281F" w:rsidRDefault="00C93E02" w:rsidP="004830D1">
            <w:pPr>
              <w:pStyle w:val="Standard"/>
              <w:spacing w:before="45"/>
              <w:ind w:left="108" w:right="-20"/>
              <w:jc w:val="center"/>
              <w:rPr>
                <w:rFonts w:ascii="Arial" w:hAnsi="Arial" w:cs="Arial"/>
              </w:rPr>
            </w:pPr>
            <w:r w:rsidRPr="0084281F">
              <w:rPr>
                <w:rFonts w:ascii="Arial" w:hAnsi="Arial" w:cs="Arial"/>
              </w:rPr>
              <w:t xml:space="preserve">15 </w:t>
            </w:r>
          </w:p>
        </w:tc>
      </w:tr>
    </w:tbl>
    <w:p w:rsidR="00ED2EF6" w:rsidRPr="0084281F" w:rsidRDefault="00ED2EF6" w:rsidP="00ED2EF6">
      <w:pPr>
        <w:pStyle w:val="Standard"/>
        <w:tabs>
          <w:tab w:val="left" w:pos="0"/>
          <w:tab w:val="left" w:pos="432"/>
          <w:tab w:val="left" w:pos="864"/>
          <w:tab w:val="left" w:pos="1296"/>
          <w:tab w:val="left" w:pos="1728"/>
        </w:tabs>
        <w:spacing w:line="240" w:lineRule="atLeast"/>
        <w:rPr>
          <w:rFonts w:ascii="Arial" w:hAnsi="Arial" w:cs="Arial"/>
          <w:bCs/>
        </w:rPr>
      </w:pPr>
    </w:p>
    <w:p w:rsidR="00ED2EF6" w:rsidRDefault="00ED2EF6" w:rsidP="00ED2EF6">
      <w:pPr>
        <w:pStyle w:val="Standard"/>
        <w:tabs>
          <w:tab w:val="left" w:pos="0"/>
          <w:tab w:val="left" w:pos="432"/>
          <w:tab w:val="left" w:pos="864"/>
          <w:tab w:val="left" w:pos="1296"/>
          <w:tab w:val="left" w:pos="1728"/>
        </w:tabs>
        <w:spacing w:line="240" w:lineRule="atLeast"/>
        <w:rPr>
          <w:rFonts w:ascii="Arial" w:hAnsi="Arial" w:cs="Arial"/>
          <w:bCs/>
        </w:rPr>
      </w:pPr>
      <w:r w:rsidRPr="0084281F">
        <w:rPr>
          <w:rFonts w:ascii="Arial" w:hAnsi="Arial" w:cs="Arial"/>
          <w:bCs/>
        </w:rPr>
        <w:t xml:space="preserve">Rubber used in bags shall be clean, 95 percent free of metal and particulates.  </w:t>
      </w:r>
    </w:p>
    <w:p w:rsidR="008E52E5" w:rsidRDefault="008E52E5" w:rsidP="00ED2EF6">
      <w:pPr>
        <w:pStyle w:val="Standard"/>
        <w:tabs>
          <w:tab w:val="left" w:pos="0"/>
          <w:tab w:val="left" w:pos="432"/>
          <w:tab w:val="left" w:pos="864"/>
          <w:tab w:val="left" w:pos="1296"/>
          <w:tab w:val="left" w:pos="1728"/>
        </w:tabs>
        <w:spacing w:line="240" w:lineRule="atLeast"/>
        <w:rPr>
          <w:rFonts w:ascii="Arial" w:hAnsi="Arial" w:cs="Arial"/>
          <w:bCs/>
        </w:rPr>
      </w:pPr>
    </w:p>
    <w:p w:rsidR="008E52E5" w:rsidRPr="0084281F" w:rsidRDefault="008E52E5" w:rsidP="008E52E5">
      <w:pPr>
        <w:pStyle w:val="Standard"/>
        <w:tabs>
          <w:tab w:val="left" w:pos="0"/>
          <w:tab w:val="left" w:pos="432"/>
          <w:tab w:val="left" w:pos="864"/>
          <w:tab w:val="left" w:pos="1296"/>
          <w:tab w:val="left" w:pos="1728"/>
        </w:tabs>
        <w:spacing w:line="240" w:lineRule="atLeast"/>
        <w:rPr>
          <w:rFonts w:ascii="Arial" w:hAnsi="Arial" w:cs="Arial"/>
        </w:rPr>
      </w:pPr>
      <w:r w:rsidRPr="0084281F">
        <w:rPr>
          <w:rFonts w:ascii="Arial" w:hAnsi="Arial" w:cs="Arial"/>
          <w:bCs/>
        </w:rPr>
        <w:t>Crushed stone contained in the</w:t>
      </w:r>
      <w:r>
        <w:rPr>
          <w:rFonts w:ascii="Arial" w:hAnsi="Arial" w:cs="Arial"/>
          <w:bCs/>
        </w:rPr>
        <w:t xml:space="preserve"> </w:t>
      </w:r>
      <w:r w:rsidR="00B45DD9">
        <w:rPr>
          <w:rFonts w:ascii="Arial" w:hAnsi="Arial" w:cs="Arial"/>
          <w:bCs/>
        </w:rPr>
        <w:t>a</w:t>
      </w:r>
      <w:r>
        <w:rPr>
          <w:rFonts w:ascii="Arial" w:hAnsi="Arial" w:cs="Arial"/>
          <w:bCs/>
        </w:rPr>
        <w:t xml:space="preserve">ggregate bags shall conform to </w:t>
      </w:r>
      <w:r w:rsidRPr="008E52E5">
        <w:rPr>
          <w:rFonts w:ascii="Arial" w:hAnsi="Arial" w:cs="Arial"/>
          <w:bCs/>
        </w:rPr>
        <w:t xml:space="preserve">subsection 703.09, </w:t>
      </w:r>
      <w:r w:rsidRPr="0084281F">
        <w:rPr>
          <w:rFonts w:ascii="Arial" w:hAnsi="Arial" w:cs="Arial"/>
          <w:bCs/>
        </w:rPr>
        <w:t>Table 703-7 for Class C.</w:t>
      </w:r>
    </w:p>
    <w:p w:rsidR="008E52E5" w:rsidRPr="0084281F" w:rsidRDefault="008E52E5" w:rsidP="00ED2EF6">
      <w:pPr>
        <w:pStyle w:val="Standard"/>
        <w:tabs>
          <w:tab w:val="left" w:pos="0"/>
          <w:tab w:val="left" w:pos="432"/>
          <w:tab w:val="left" w:pos="864"/>
          <w:tab w:val="left" w:pos="1296"/>
          <w:tab w:val="left" w:pos="1728"/>
        </w:tabs>
        <w:spacing w:line="240" w:lineRule="atLeast"/>
        <w:rPr>
          <w:rFonts w:ascii="Arial" w:hAnsi="Arial" w:cs="Arial"/>
        </w:rPr>
      </w:pPr>
    </w:p>
    <w:p w:rsidR="00C93E02" w:rsidRPr="0084281F" w:rsidRDefault="00C93E02">
      <w:pPr>
        <w:pStyle w:val="Standard"/>
        <w:tabs>
          <w:tab w:val="left" w:pos="0"/>
          <w:tab w:val="left" w:pos="432"/>
          <w:tab w:val="left" w:pos="864"/>
          <w:tab w:val="left" w:pos="1296"/>
          <w:tab w:val="left" w:pos="1728"/>
        </w:tabs>
        <w:spacing w:line="240" w:lineRule="atLeast"/>
        <w:rPr>
          <w:rFonts w:ascii="Arial" w:hAnsi="Arial" w:cs="Arial"/>
        </w:rPr>
      </w:pPr>
    </w:p>
    <w:p w:rsidR="00C93E02" w:rsidRPr="0084281F" w:rsidRDefault="00C93E02">
      <w:pPr>
        <w:pStyle w:val="Standard"/>
        <w:tabs>
          <w:tab w:val="left" w:pos="0"/>
          <w:tab w:val="left" w:pos="432"/>
          <w:tab w:val="left" w:pos="864"/>
          <w:tab w:val="left" w:pos="1296"/>
          <w:tab w:val="left" w:pos="1728"/>
        </w:tabs>
        <w:spacing w:line="240" w:lineRule="atLeast"/>
        <w:rPr>
          <w:rFonts w:ascii="Arial" w:hAnsi="Arial" w:cs="Arial"/>
        </w:rPr>
      </w:pPr>
      <w:r w:rsidRPr="0084281F">
        <w:rPr>
          <w:rFonts w:ascii="Arial" w:hAnsi="Arial" w:cs="Arial"/>
        </w:rPr>
        <w:t>The aggregate bag</w:t>
      </w:r>
      <w:r w:rsidRPr="0084281F">
        <w:rPr>
          <w:rFonts w:ascii="Arial" w:hAnsi="Arial" w:cs="Arial"/>
          <w:i/>
        </w:rPr>
        <w:t xml:space="preserve"> </w:t>
      </w:r>
      <w:r w:rsidRPr="0084281F">
        <w:rPr>
          <w:rFonts w:ascii="Arial" w:hAnsi="Arial" w:cs="Arial"/>
        </w:rPr>
        <w:t>shall consist of a woven geotextile fabric with the following properties:</w:t>
      </w:r>
    </w:p>
    <w:p w:rsidR="00C93E02" w:rsidRPr="0084281F" w:rsidRDefault="00C93E02">
      <w:pPr>
        <w:pStyle w:val="Standard"/>
        <w:tabs>
          <w:tab w:val="left" w:pos="0"/>
          <w:tab w:val="left" w:pos="432"/>
          <w:tab w:val="left" w:pos="864"/>
          <w:tab w:val="left" w:pos="1296"/>
          <w:tab w:val="left" w:pos="1728"/>
        </w:tabs>
        <w:spacing w:line="240" w:lineRule="atLeast"/>
        <w:jc w:val="center"/>
        <w:rPr>
          <w:rFonts w:ascii="Arial" w:hAnsi="Arial" w:cs="Arial"/>
        </w:rPr>
      </w:pPr>
    </w:p>
    <w:tbl>
      <w:tblPr>
        <w:tblW w:w="4999" w:type="dxa"/>
        <w:jc w:val="center"/>
        <w:tblInd w:w="975" w:type="dxa"/>
        <w:tblBorders>
          <w:top w:val="double" w:sz="4" w:space="0" w:color="auto"/>
          <w:left w:val="double" w:sz="4" w:space="0" w:color="auto"/>
          <w:bottom w:val="double" w:sz="4" w:space="0" w:color="auto"/>
          <w:right w:val="double" w:sz="4" w:space="0" w:color="auto"/>
          <w:insideH w:val="single" w:sz="4" w:space="0" w:color="231F20"/>
          <w:insideV w:val="single" w:sz="4" w:space="0" w:color="231F20"/>
        </w:tblBorders>
        <w:tblLayout w:type="fixed"/>
        <w:tblCellMar>
          <w:left w:w="10" w:type="dxa"/>
          <w:right w:w="10" w:type="dxa"/>
        </w:tblCellMar>
        <w:tblLook w:val="0000" w:firstRow="0" w:lastRow="0" w:firstColumn="0" w:lastColumn="0" w:noHBand="0" w:noVBand="0"/>
      </w:tblPr>
      <w:tblGrid>
        <w:gridCol w:w="2257"/>
        <w:gridCol w:w="1354"/>
        <w:gridCol w:w="1388"/>
      </w:tblGrid>
      <w:tr w:rsidR="00C93E02" w:rsidRPr="0084281F" w:rsidTr="004830D1">
        <w:trPr>
          <w:trHeight w:hRule="exact" w:val="283"/>
          <w:jc w:val="center"/>
        </w:trPr>
        <w:tc>
          <w:tcPr>
            <w:tcW w:w="2257" w:type="dxa"/>
            <w:shd w:val="clear" w:color="auto" w:fill="auto"/>
            <w:tcMar>
              <w:top w:w="0" w:type="dxa"/>
              <w:left w:w="0" w:type="dxa"/>
              <w:bottom w:w="0" w:type="dxa"/>
              <w:right w:w="0" w:type="dxa"/>
            </w:tcMar>
          </w:tcPr>
          <w:p w:rsidR="00C93E02" w:rsidRPr="0084281F" w:rsidRDefault="00C93E02">
            <w:pPr>
              <w:pStyle w:val="Standard"/>
              <w:tabs>
                <w:tab w:val="left" w:pos="0"/>
                <w:tab w:val="left" w:pos="432"/>
                <w:tab w:val="left" w:pos="864"/>
                <w:tab w:val="left" w:pos="1296"/>
                <w:tab w:val="left" w:pos="1728"/>
              </w:tabs>
              <w:spacing w:line="240" w:lineRule="atLeast"/>
              <w:jc w:val="center"/>
              <w:rPr>
                <w:rFonts w:ascii="Arial" w:hAnsi="Arial" w:cs="Arial"/>
              </w:rPr>
            </w:pPr>
            <w:r w:rsidRPr="0084281F">
              <w:rPr>
                <w:rFonts w:ascii="Arial" w:hAnsi="Arial" w:cs="Arial"/>
                <w:b/>
                <w:bCs/>
              </w:rPr>
              <w:t>Property</w:t>
            </w:r>
          </w:p>
        </w:tc>
        <w:tc>
          <w:tcPr>
            <w:tcW w:w="1354" w:type="dxa"/>
            <w:shd w:val="clear" w:color="auto" w:fill="auto"/>
            <w:tcMar>
              <w:top w:w="0" w:type="dxa"/>
              <w:left w:w="0" w:type="dxa"/>
              <w:bottom w:w="0" w:type="dxa"/>
              <w:right w:w="0" w:type="dxa"/>
            </w:tcMar>
          </w:tcPr>
          <w:p w:rsidR="00C93E02" w:rsidRPr="0084281F" w:rsidRDefault="00C93E02">
            <w:pPr>
              <w:pStyle w:val="Standard"/>
              <w:tabs>
                <w:tab w:val="left" w:pos="0"/>
                <w:tab w:val="left" w:pos="432"/>
                <w:tab w:val="left" w:pos="864"/>
                <w:tab w:val="left" w:pos="1296"/>
                <w:tab w:val="left" w:pos="1728"/>
              </w:tabs>
              <w:spacing w:line="240" w:lineRule="atLeast"/>
              <w:jc w:val="center"/>
              <w:rPr>
                <w:rFonts w:ascii="Arial" w:hAnsi="Arial" w:cs="Arial"/>
              </w:rPr>
            </w:pPr>
            <w:r w:rsidRPr="0084281F">
              <w:rPr>
                <w:rFonts w:ascii="Arial" w:hAnsi="Arial" w:cs="Arial"/>
                <w:b/>
                <w:bCs/>
              </w:rPr>
              <w:t>Requirement</w:t>
            </w:r>
          </w:p>
        </w:tc>
        <w:tc>
          <w:tcPr>
            <w:tcW w:w="1388" w:type="dxa"/>
            <w:shd w:val="clear" w:color="auto" w:fill="auto"/>
            <w:tcMar>
              <w:top w:w="0" w:type="dxa"/>
              <w:left w:w="0" w:type="dxa"/>
              <w:bottom w:w="0" w:type="dxa"/>
              <w:right w:w="0" w:type="dxa"/>
            </w:tcMar>
          </w:tcPr>
          <w:p w:rsidR="00C93E02" w:rsidRPr="0084281F" w:rsidRDefault="00C93E02">
            <w:pPr>
              <w:pStyle w:val="Standard"/>
              <w:tabs>
                <w:tab w:val="left" w:pos="0"/>
                <w:tab w:val="left" w:pos="432"/>
                <w:tab w:val="left" w:pos="864"/>
                <w:tab w:val="left" w:pos="1296"/>
                <w:tab w:val="left" w:pos="1728"/>
              </w:tabs>
              <w:spacing w:line="240" w:lineRule="atLeast"/>
              <w:jc w:val="center"/>
              <w:rPr>
                <w:rFonts w:ascii="Arial" w:hAnsi="Arial" w:cs="Arial"/>
              </w:rPr>
            </w:pPr>
            <w:r w:rsidRPr="0084281F">
              <w:rPr>
                <w:rFonts w:ascii="Arial" w:hAnsi="Arial" w:cs="Arial"/>
                <w:b/>
                <w:bCs/>
              </w:rPr>
              <w:t>Test Method</w:t>
            </w:r>
          </w:p>
        </w:tc>
      </w:tr>
      <w:tr w:rsidR="00C93E02" w:rsidRPr="0084281F" w:rsidTr="004830D1">
        <w:trPr>
          <w:trHeight w:hRule="exact" w:val="285"/>
          <w:jc w:val="center"/>
        </w:trPr>
        <w:tc>
          <w:tcPr>
            <w:tcW w:w="2257" w:type="dxa"/>
            <w:shd w:val="clear" w:color="auto" w:fill="BFBFBF"/>
            <w:tcMar>
              <w:top w:w="0" w:type="dxa"/>
              <w:left w:w="0" w:type="dxa"/>
              <w:bottom w:w="0" w:type="dxa"/>
              <w:right w:w="0" w:type="dxa"/>
            </w:tcMar>
          </w:tcPr>
          <w:p w:rsidR="00C93E02" w:rsidRPr="0084281F" w:rsidRDefault="00C93E02">
            <w:pPr>
              <w:pStyle w:val="Standard"/>
              <w:tabs>
                <w:tab w:val="left" w:pos="0"/>
                <w:tab w:val="left" w:pos="432"/>
                <w:tab w:val="left" w:pos="864"/>
                <w:tab w:val="left" w:pos="1296"/>
                <w:tab w:val="left" w:pos="1728"/>
              </w:tabs>
              <w:spacing w:line="240" w:lineRule="atLeast"/>
              <w:jc w:val="center"/>
              <w:rPr>
                <w:rFonts w:ascii="Arial" w:hAnsi="Arial" w:cs="Arial"/>
              </w:rPr>
            </w:pPr>
            <w:r w:rsidRPr="0084281F">
              <w:rPr>
                <w:rFonts w:ascii="Arial" w:hAnsi="Arial" w:cs="Arial"/>
              </w:rPr>
              <w:t>Grab Tensile Strength</w:t>
            </w:r>
          </w:p>
        </w:tc>
        <w:tc>
          <w:tcPr>
            <w:tcW w:w="1354" w:type="dxa"/>
            <w:shd w:val="clear" w:color="auto" w:fill="BFBFBF"/>
            <w:tcMar>
              <w:top w:w="0" w:type="dxa"/>
              <w:left w:w="0" w:type="dxa"/>
              <w:bottom w:w="0" w:type="dxa"/>
              <w:right w:w="0" w:type="dxa"/>
            </w:tcMar>
          </w:tcPr>
          <w:p w:rsidR="00C93E02" w:rsidRPr="0084281F" w:rsidRDefault="00C93E02">
            <w:pPr>
              <w:pStyle w:val="Standard"/>
              <w:tabs>
                <w:tab w:val="left" w:pos="0"/>
                <w:tab w:val="left" w:pos="432"/>
                <w:tab w:val="left" w:pos="864"/>
                <w:tab w:val="left" w:pos="1296"/>
                <w:tab w:val="left" w:pos="1728"/>
              </w:tabs>
              <w:spacing w:line="240" w:lineRule="atLeast"/>
              <w:jc w:val="center"/>
              <w:rPr>
                <w:rFonts w:ascii="Arial" w:hAnsi="Arial" w:cs="Arial"/>
              </w:rPr>
            </w:pPr>
            <w:r w:rsidRPr="0084281F">
              <w:rPr>
                <w:rFonts w:ascii="Arial" w:hAnsi="Arial" w:cs="Arial"/>
              </w:rPr>
              <w:t>90 lbs. min.</w:t>
            </w:r>
          </w:p>
        </w:tc>
        <w:tc>
          <w:tcPr>
            <w:tcW w:w="1388" w:type="dxa"/>
            <w:shd w:val="clear" w:color="auto" w:fill="BFBFBF"/>
            <w:tcMar>
              <w:top w:w="0" w:type="dxa"/>
              <w:left w:w="0" w:type="dxa"/>
              <w:bottom w:w="0" w:type="dxa"/>
              <w:right w:w="0" w:type="dxa"/>
            </w:tcMar>
          </w:tcPr>
          <w:p w:rsidR="00C93E02" w:rsidRPr="0084281F" w:rsidRDefault="00C93E02">
            <w:pPr>
              <w:pStyle w:val="Standard"/>
              <w:tabs>
                <w:tab w:val="left" w:pos="0"/>
                <w:tab w:val="left" w:pos="432"/>
                <w:tab w:val="left" w:pos="864"/>
                <w:tab w:val="left" w:pos="1296"/>
                <w:tab w:val="left" w:pos="1728"/>
              </w:tabs>
              <w:spacing w:line="240" w:lineRule="atLeast"/>
              <w:jc w:val="center"/>
              <w:rPr>
                <w:rFonts w:ascii="Arial" w:hAnsi="Arial" w:cs="Arial"/>
              </w:rPr>
            </w:pPr>
            <w:r w:rsidRPr="0084281F">
              <w:rPr>
                <w:rFonts w:ascii="Arial" w:hAnsi="Arial" w:cs="Arial"/>
              </w:rPr>
              <w:t>ASTM D 4632</w:t>
            </w:r>
          </w:p>
        </w:tc>
      </w:tr>
      <w:tr w:rsidR="00C93E02" w:rsidRPr="0084281F" w:rsidTr="004830D1">
        <w:trPr>
          <w:trHeight w:hRule="exact" w:val="285"/>
          <w:jc w:val="center"/>
        </w:trPr>
        <w:tc>
          <w:tcPr>
            <w:tcW w:w="2257" w:type="dxa"/>
            <w:shd w:val="clear" w:color="auto" w:fill="auto"/>
            <w:tcMar>
              <w:top w:w="0" w:type="dxa"/>
              <w:left w:w="0" w:type="dxa"/>
              <w:bottom w:w="0" w:type="dxa"/>
              <w:right w:w="0" w:type="dxa"/>
            </w:tcMar>
          </w:tcPr>
          <w:p w:rsidR="00C93E02" w:rsidRPr="0084281F" w:rsidRDefault="00C93E02">
            <w:pPr>
              <w:pStyle w:val="Standard"/>
              <w:tabs>
                <w:tab w:val="left" w:pos="0"/>
                <w:tab w:val="left" w:pos="432"/>
                <w:tab w:val="left" w:pos="864"/>
                <w:tab w:val="left" w:pos="1296"/>
                <w:tab w:val="left" w:pos="1728"/>
              </w:tabs>
              <w:spacing w:line="240" w:lineRule="atLeast"/>
              <w:jc w:val="center"/>
              <w:rPr>
                <w:rFonts w:ascii="Arial" w:hAnsi="Arial" w:cs="Arial"/>
              </w:rPr>
            </w:pPr>
            <w:r w:rsidRPr="0084281F">
              <w:rPr>
                <w:rFonts w:ascii="Arial" w:hAnsi="Arial" w:cs="Arial"/>
              </w:rPr>
              <w:t>Trapezoid Tear Strength</w:t>
            </w:r>
          </w:p>
        </w:tc>
        <w:tc>
          <w:tcPr>
            <w:tcW w:w="1354" w:type="dxa"/>
            <w:shd w:val="clear" w:color="auto" w:fill="auto"/>
            <w:tcMar>
              <w:top w:w="0" w:type="dxa"/>
              <w:left w:w="0" w:type="dxa"/>
              <w:bottom w:w="0" w:type="dxa"/>
              <w:right w:w="0" w:type="dxa"/>
            </w:tcMar>
          </w:tcPr>
          <w:p w:rsidR="00C93E02" w:rsidRPr="0084281F" w:rsidRDefault="00C93E02">
            <w:pPr>
              <w:pStyle w:val="Standard"/>
              <w:tabs>
                <w:tab w:val="left" w:pos="0"/>
                <w:tab w:val="left" w:pos="432"/>
                <w:tab w:val="left" w:pos="864"/>
                <w:tab w:val="left" w:pos="1296"/>
                <w:tab w:val="left" w:pos="1728"/>
              </w:tabs>
              <w:spacing w:line="240" w:lineRule="atLeast"/>
              <w:jc w:val="center"/>
              <w:rPr>
                <w:rFonts w:ascii="Arial" w:hAnsi="Arial" w:cs="Arial"/>
              </w:rPr>
            </w:pPr>
            <w:r w:rsidRPr="0084281F">
              <w:rPr>
                <w:rFonts w:ascii="Arial" w:hAnsi="Arial" w:cs="Arial"/>
              </w:rPr>
              <w:t>25 lbs. min.</w:t>
            </w:r>
          </w:p>
        </w:tc>
        <w:tc>
          <w:tcPr>
            <w:tcW w:w="1388" w:type="dxa"/>
            <w:shd w:val="clear" w:color="auto" w:fill="auto"/>
            <w:tcMar>
              <w:top w:w="0" w:type="dxa"/>
              <w:left w:w="0" w:type="dxa"/>
              <w:bottom w:w="0" w:type="dxa"/>
              <w:right w:w="0" w:type="dxa"/>
            </w:tcMar>
          </w:tcPr>
          <w:p w:rsidR="00C93E02" w:rsidRPr="0084281F" w:rsidRDefault="00C93E02">
            <w:pPr>
              <w:pStyle w:val="Standard"/>
              <w:tabs>
                <w:tab w:val="left" w:pos="0"/>
                <w:tab w:val="left" w:pos="432"/>
                <w:tab w:val="left" w:pos="864"/>
                <w:tab w:val="left" w:pos="1296"/>
                <w:tab w:val="left" w:pos="1728"/>
              </w:tabs>
              <w:spacing w:line="240" w:lineRule="atLeast"/>
              <w:jc w:val="center"/>
              <w:rPr>
                <w:rFonts w:ascii="Arial" w:hAnsi="Arial" w:cs="Arial"/>
              </w:rPr>
            </w:pPr>
            <w:r w:rsidRPr="0084281F">
              <w:rPr>
                <w:rFonts w:ascii="Arial" w:hAnsi="Arial" w:cs="Arial"/>
              </w:rPr>
              <w:t>ASTM D 4533</w:t>
            </w:r>
          </w:p>
        </w:tc>
      </w:tr>
      <w:tr w:rsidR="00C93E02" w:rsidRPr="0084281F" w:rsidTr="004830D1">
        <w:trPr>
          <w:trHeight w:hRule="exact" w:val="285"/>
          <w:jc w:val="center"/>
        </w:trPr>
        <w:tc>
          <w:tcPr>
            <w:tcW w:w="2257" w:type="dxa"/>
            <w:shd w:val="clear" w:color="auto" w:fill="BFBFBF"/>
            <w:tcMar>
              <w:top w:w="0" w:type="dxa"/>
              <w:left w:w="0" w:type="dxa"/>
              <w:bottom w:w="0" w:type="dxa"/>
              <w:right w:w="0" w:type="dxa"/>
            </w:tcMar>
          </w:tcPr>
          <w:p w:rsidR="00C93E02" w:rsidRPr="0084281F" w:rsidRDefault="00C93E02">
            <w:pPr>
              <w:pStyle w:val="Standard"/>
              <w:tabs>
                <w:tab w:val="left" w:pos="0"/>
                <w:tab w:val="left" w:pos="432"/>
                <w:tab w:val="left" w:pos="864"/>
                <w:tab w:val="left" w:pos="1296"/>
                <w:tab w:val="left" w:pos="1728"/>
              </w:tabs>
              <w:spacing w:line="240" w:lineRule="atLeast"/>
              <w:jc w:val="center"/>
              <w:rPr>
                <w:rFonts w:ascii="Arial" w:hAnsi="Arial" w:cs="Arial"/>
              </w:rPr>
            </w:pPr>
            <w:r w:rsidRPr="0084281F">
              <w:rPr>
                <w:rFonts w:ascii="Arial" w:hAnsi="Arial" w:cs="Arial"/>
              </w:rPr>
              <w:t>Mullen Burst</w:t>
            </w:r>
          </w:p>
        </w:tc>
        <w:tc>
          <w:tcPr>
            <w:tcW w:w="1354" w:type="dxa"/>
            <w:shd w:val="clear" w:color="auto" w:fill="BFBFBF"/>
            <w:tcMar>
              <w:top w:w="0" w:type="dxa"/>
              <w:left w:w="0" w:type="dxa"/>
              <w:bottom w:w="0" w:type="dxa"/>
              <w:right w:w="0" w:type="dxa"/>
            </w:tcMar>
          </w:tcPr>
          <w:p w:rsidR="00C93E02" w:rsidRPr="0084281F" w:rsidRDefault="00C93E02">
            <w:pPr>
              <w:pStyle w:val="Standard"/>
              <w:tabs>
                <w:tab w:val="left" w:pos="0"/>
                <w:tab w:val="left" w:pos="432"/>
                <w:tab w:val="left" w:pos="864"/>
                <w:tab w:val="left" w:pos="1296"/>
                <w:tab w:val="left" w:pos="1728"/>
              </w:tabs>
              <w:spacing w:line="240" w:lineRule="atLeast"/>
              <w:jc w:val="center"/>
              <w:rPr>
                <w:rFonts w:ascii="Arial" w:hAnsi="Arial" w:cs="Arial"/>
              </w:rPr>
            </w:pPr>
            <w:r w:rsidRPr="0084281F">
              <w:rPr>
                <w:rFonts w:ascii="Arial" w:hAnsi="Arial" w:cs="Arial"/>
              </w:rPr>
              <w:t>300 psi</w:t>
            </w:r>
          </w:p>
        </w:tc>
        <w:tc>
          <w:tcPr>
            <w:tcW w:w="1388" w:type="dxa"/>
            <w:shd w:val="clear" w:color="auto" w:fill="BFBFBF"/>
            <w:tcMar>
              <w:top w:w="0" w:type="dxa"/>
              <w:left w:w="0" w:type="dxa"/>
              <w:bottom w:w="0" w:type="dxa"/>
              <w:right w:w="0" w:type="dxa"/>
            </w:tcMar>
          </w:tcPr>
          <w:p w:rsidR="00C93E02" w:rsidRPr="0084281F" w:rsidRDefault="00C93E02">
            <w:pPr>
              <w:pStyle w:val="Standard"/>
              <w:tabs>
                <w:tab w:val="left" w:pos="0"/>
                <w:tab w:val="left" w:pos="432"/>
                <w:tab w:val="left" w:pos="864"/>
                <w:tab w:val="left" w:pos="1296"/>
                <w:tab w:val="left" w:pos="1728"/>
              </w:tabs>
              <w:spacing w:line="240" w:lineRule="atLeast"/>
              <w:jc w:val="center"/>
              <w:rPr>
                <w:rFonts w:ascii="Arial" w:hAnsi="Arial" w:cs="Arial"/>
              </w:rPr>
            </w:pPr>
            <w:r w:rsidRPr="0084281F">
              <w:rPr>
                <w:rFonts w:ascii="Arial" w:hAnsi="Arial" w:cs="Arial"/>
              </w:rPr>
              <w:t>ASTM D 3786</w:t>
            </w:r>
          </w:p>
        </w:tc>
      </w:tr>
      <w:tr w:rsidR="00C93E02" w:rsidRPr="0084281F" w:rsidTr="004830D1">
        <w:trPr>
          <w:trHeight w:hRule="exact" w:val="285"/>
          <w:jc w:val="center"/>
        </w:trPr>
        <w:tc>
          <w:tcPr>
            <w:tcW w:w="2257" w:type="dxa"/>
            <w:shd w:val="clear" w:color="auto" w:fill="auto"/>
            <w:tcMar>
              <w:top w:w="0" w:type="dxa"/>
              <w:left w:w="0" w:type="dxa"/>
              <w:bottom w:w="0" w:type="dxa"/>
              <w:right w:w="0" w:type="dxa"/>
            </w:tcMar>
          </w:tcPr>
          <w:p w:rsidR="00C93E02" w:rsidRPr="0084281F" w:rsidRDefault="00C93E02">
            <w:pPr>
              <w:pStyle w:val="Standard"/>
              <w:tabs>
                <w:tab w:val="left" w:pos="0"/>
                <w:tab w:val="left" w:pos="432"/>
                <w:tab w:val="left" w:pos="864"/>
                <w:tab w:val="left" w:pos="1296"/>
                <w:tab w:val="left" w:pos="1728"/>
              </w:tabs>
              <w:spacing w:line="240" w:lineRule="atLeast"/>
              <w:jc w:val="center"/>
              <w:rPr>
                <w:rFonts w:ascii="Arial" w:hAnsi="Arial" w:cs="Arial"/>
              </w:rPr>
            </w:pPr>
            <w:r w:rsidRPr="0084281F">
              <w:rPr>
                <w:rFonts w:ascii="Arial" w:hAnsi="Arial" w:cs="Arial"/>
              </w:rPr>
              <w:t>Ultraviolet Resistance</w:t>
            </w:r>
          </w:p>
        </w:tc>
        <w:tc>
          <w:tcPr>
            <w:tcW w:w="1354" w:type="dxa"/>
            <w:shd w:val="clear" w:color="auto" w:fill="auto"/>
            <w:tcMar>
              <w:top w:w="0" w:type="dxa"/>
              <w:left w:w="0" w:type="dxa"/>
              <w:bottom w:w="0" w:type="dxa"/>
              <w:right w:w="0" w:type="dxa"/>
            </w:tcMar>
          </w:tcPr>
          <w:p w:rsidR="00C93E02" w:rsidRPr="0084281F" w:rsidRDefault="00C93E02">
            <w:pPr>
              <w:pStyle w:val="Standard"/>
              <w:tabs>
                <w:tab w:val="left" w:pos="0"/>
                <w:tab w:val="left" w:pos="432"/>
                <w:tab w:val="left" w:pos="864"/>
                <w:tab w:val="left" w:pos="1296"/>
                <w:tab w:val="left" w:pos="1728"/>
              </w:tabs>
              <w:spacing w:line="240" w:lineRule="atLeast"/>
              <w:jc w:val="center"/>
              <w:rPr>
                <w:rFonts w:ascii="Arial" w:hAnsi="Arial" w:cs="Arial"/>
              </w:rPr>
            </w:pPr>
            <w:r w:rsidRPr="0084281F">
              <w:rPr>
                <w:rFonts w:ascii="Arial" w:hAnsi="Arial" w:cs="Arial"/>
              </w:rPr>
              <w:t>70%</w:t>
            </w:r>
          </w:p>
        </w:tc>
        <w:tc>
          <w:tcPr>
            <w:tcW w:w="1388" w:type="dxa"/>
            <w:shd w:val="clear" w:color="auto" w:fill="auto"/>
            <w:tcMar>
              <w:top w:w="0" w:type="dxa"/>
              <w:left w:w="0" w:type="dxa"/>
              <w:bottom w:w="0" w:type="dxa"/>
              <w:right w:w="0" w:type="dxa"/>
            </w:tcMar>
          </w:tcPr>
          <w:p w:rsidR="00C93E02" w:rsidRPr="0084281F" w:rsidRDefault="00C93E02">
            <w:pPr>
              <w:pStyle w:val="Standard"/>
              <w:tabs>
                <w:tab w:val="left" w:pos="0"/>
                <w:tab w:val="left" w:pos="432"/>
                <w:tab w:val="left" w:pos="864"/>
                <w:tab w:val="left" w:pos="1296"/>
                <w:tab w:val="left" w:pos="1728"/>
              </w:tabs>
              <w:spacing w:line="240" w:lineRule="atLeast"/>
              <w:jc w:val="center"/>
              <w:rPr>
                <w:rFonts w:ascii="Arial" w:hAnsi="Arial" w:cs="Arial"/>
              </w:rPr>
            </w:pPr>
            <w:r w:rsidRPr="0084281F">
              <w:rPr>
                <w:rFonts w:ascii="Arial" w:hAnsi="Arial" w:cs="Arial"/>
              </w:rPr>
              <w:t>ASTM D 4355</w:t>
            </w:r>
          </w:p>
        </w:tc>
      </w:tr>
    </w:tbl>
    <w:p w:rsidR="00C93E02" w:rsidRPr="0084281F" w:rsidRDefault="00C93E02">
      <w:pPr>
        <w:pStyle w:val="Standard"/>
        <w:tabs>
          <w:tab w:val="left" w:pos="0"/>
          <w:tab w:val="left" w:pos="432"/>
          <w:tab w:val="left" w:pos="864"/>
          <w:tab w:val="left" w:pos="1296"/>
          <w:tab w:val="left" w:pos="1728"/>
        </w:tabs>
        <w:spacing w:line="240" w:lineRule="atLeast"/>
        <w:jc w:val="center"/>
        <w:rPr>
          <w:rFonts w:ascii="Arial" w:hAnsi="Arial" w:cs="Arial"/>
        </w:rPr>
      </w:pPr>
    </w:p>
    <w:p w:rsidR="00C93E02" w:rsidRPr="0084281F" w:rsidRDefault="00C93E02">
      <w:pPr>
        <w:pStyle w:val="Standard"/>
        <w:tabs>
          <w:tab w:val="left" w:pos="0"/>
          <w:tab w:val="left" w:pos="432"/>
          <w:tab w:val="left" w:pos="864"/>
          <w:tab w:val="left" w:pos="1296"/>
          <w:tab w:val="left" w:pos="1728"/>
        </w:tabs>
        <w:spacing w:line="240" w:lineRule="atLeast"/>
        <w:rPr>
          <w:rFonts w:ascii="Arial" w:hAnsi="Arial" w:cs="Arial"/>
        </w:rPr>
      </w:pPr>
    </w:p>
    <w:p w:rsidR="00C93E02" w:rsidRPr="0084281F" w:rsidRDefault="00ED2EF6">
      <w:pPr>
        <w:pStyle w:val="Standard"/>
        <w:tabs>
          <w:tab w:val="left" w:pos="0"/>
          <w:tab w:val="left" w:pos="432"/>
          <w:tab w:val="left" w:pos="864"/>
          <w:tab w:val="left" w:pos="1296"/>
          <w:tab w:val="left" w:pos="1728"/>
        </w:tabs>
        <w:spacing w:line="240" w:lineRule="atLeast"/>
        <w:rPr>
          <w:rFonts w:ascii="Arial" w:hAnsi="Arial" w:cs="Arial"/>
        </w:rPr>
      </w:pPr>
      <w:r w:rsidRPr="0084281F">
        <w:rPr>
          <w:rFonts w:ascii="Arial" w:hAnsi="Arial" w:cs="Arial"/>
        </w:rPr>
        <w:t xml:space="preserve">Subsection </w:t>
      </w:r>
      <w:r w:rsidR="008E52E5">
        <w:rPr>
          <w:rFonts w:ascii="Arial" w:hAnsi="Arial" w:cs="Arial"/>
        </w:rPr>
        <w:t>208</w:t>
      </w:r>
      <w:r w:rsidRPr="0084281F">
        <w:rPr>
          <w:rFonts w:ascii="Arial" w:hAnsi="Arial" w:cs="Arial"/>
        </w:rPr>
        <w:t>.12 shall include the following:</w:t>
      </w:r>
    </w:p>
    <w:p w:rsidR="00C93E02" w:rsidRPr="0084281F" w:rsidRDefault="00C93E02">
      <w:pPr>
        <w:pStyle w:val="Standard"/>
        <w:tabs>
          <w:tab w:val="left" w:pos="0"/>
          <w:tab w:val="left" w:pos="432"/>
          <w:tab w:val="left" w:pos="864"/>
          <w:tab w:val="left" w:pos="1296"/>
          <w:tab w:val="left" w:pos="1728"/>
        </w:tabs>
        <w:spacing w:line="240" w:lineRule="atLeast"/>
        <w:rPr>
          <w:rFonts w:ascii="Arial" w:hAnsi="Arial" w:cs="Arial"/>
        </w:rPr>
      </w:pPr>
    </w:p>
    <w:p w:rsidR="00C93E02" w:rsidRPr="0084281F" w:rsidRDefault="00C93E02">
      <w:pPr>
        <w:pStyle w:val="Standard"/>
        <w:tabs>
          <w:tab w:val="left" w:pos="0"/>
          <w:tab w:val="left" w:pos="432"/>
          <w:tab w:val="left" w:pos="864"/>
          <w:tab w:val="left" w:pos="1296"/>
          <w:tab w:val="left" w:pos="1728"/>
        </w:tabs>
        <w:spacing w:line="240" w:lineRule="atLeast"/>
        <w:rPr>
          <w:rFonts w:ascii="Arial" w:hAnsi="Arial" w:cs="Arial"/>
        </w:rPr>
      </w:pPr>
      <w:r w:rsidRPr="0084281F">
        <w:rPr>
          <w:rFonts w:ascii="Arial" w:hAnsi="Arial" w:cs="Arial"/>
          <w:b/>
        </w:rPr>
        <w:t xml:space="preserve">Pay </w:t>
      </w:r>
      <w:r w:rsidRPr="0084281F">
        <w:rPr>
          <w:rFonts w:ascii="Arial" w:hAnsi="Arial" w:cs="Arial"/>
          <w:b/>
        </w:rPr>
        <w:tab/>
        <w:t xml:space="preserve"> Item</w:t>
      </w:r>
      <w:r w:rsidRPr="0084281F">
        <w:rPr>
          <w:rFonts w:ascii="Arial" w:hAnsi="Arial" w:cs="Arial"/>
          <w:b/>
        </w:rPr>
        <w:tab/>
      </w:r>
      <w:r w:rsidRPr="0084281F">
        <w:rPr>
          <w:rFonts w:ascii="Arial" w:hAnsi="Arial" w:cs="Arial"/>
          <w:b/>
        </w:rPr>
        <w:tab/>
      </w:r>
      <w:r w:rsidRPr="0084281F">
        <w:rPr>
          <w:rFonts w:ascii="Arial" w:hAnsi="Arial" w:cs="Arial"/>
          <w:b/>
        </w:rPr>
        <w:tab/>
        <w:t>Pay Unit</w:t>
      </w:r>
    </w:p>
    <w:p w:rsidR="00C93E02" w:rsidRPr="0084281F" w:rsidRDefault="00C93E02">
      <w:pPr>
        <w:pStyle w:val="Standard"/>
        <w:tabs>
          <w:tab w:val="left" w:pos="0"/>
          <w:tab w:val="left" w:pos="432"/>
          <w:tab w:val="left" w:pos="864"/>
          <w:tab w:val="left" w:pos="1296"/>
          <w:tab w:val="left" w:pos="1728"/>
        </w:tabs>
        <w:spacing w:line="240" w:lineRule="atLeast"/>
        <w:rPr>
          <w:rFonts w:ascii="Arial" w:hAnsi="Arial" w:cs="Arial"/>
        </w:rPr>
      </w:pPr>
      <w:r w:rsidRPr="0084281F">
        <w:rPr>
          <w:rFonts w:ascii="Arial" w:hAnsi="Arial" w:cs="Arial"/>
        </w:rPr>
        <w:t>Aggregate Bag</w:t>
      </w:r>
      <w:r w:rsidRPr="0084281F">
        <w:rPr>
          <w:rFonts w:ascii="Arial" w:hAnsi="Arial" w:cs="Arial"/>
        </w:rPr>
        <w:tab/>
      </w:r>
      <w:r w:rsidRPr="0084281F">
        <w:rPr>
          <w:rFonts w:ascii="Arial" w:hAnsi="Arial" w:cs="Arial"/>
        </w:rPr>
        <w:tab/>
        <w:t>Linear Foot</w:t>
      </w:r>
      <w:r w:rsidRPr="0084281F">
        <w:rPr>
          <w:rFonts w:ascii="Arial" w:hAnsi="Arial" w:cs="Arial"/>
        </w:rPr>
        <w:tab/>
      </w:r>
      <w:r w:rsidRPr="0084281F">
        <w:rPr>
          <w:rFonts w:ascii="Arial" w:hAnsi="Arial" w:cs="Arial"/>
        </w:rPr>
        <w:tab/>
      </w:r>
      <w:r w:rsidRPr="0084281F">
        <w:rPr>
          <w:rFonts w:ascii="Arial" w:hAnsi="Arial" w:cs="Arial"/>
        </w:rPr>
        <w:tab/>
      </w:r>
      <w:r w:rsidRPr="0084281F">
        <w:rPr>
          <w:rFonts w:ascii="Arial" w:hAnsi="Arial" w:cs="Arial"/>
        </w:rPr>
        <w:tab/>
      </w:r>
      <w:r w:rsidRPr="0084281F">
        <w:rPr>
          <w:rFonts w:ascii="Arial" w:hAnsi="Arial" w:cs="Arial"/>
        </w:rPr>
        <w:tab/>
      </w:r>
      <w:r w:rsidRPr="0084281F">
        <w:rPr>
          <w:rFonts w:ascii="Arial" w:hAnsi="Arial" w:cs="Arial"/>
        </w:rPr>
        <w:tab/>
      </w:r>
      <w:r w:rsidRPr="0084281F">
        <w:rPr>
          <w:rFonts w:ascii="Arial" w:hAnsi="Arial" w:cs="Arial"/>
        </w:rPr>
        <w:tab/>
      </w:r>
      <w:r w:rsidRPr="0084281F">
        <w:rPr>
          <w:rFonts w:ascii="Arial" w:hAnsi="Arial" w:cs="Arial"/>
        </w:rPr>
        <w:tab/>
      </w:r>
    </w:p>
    <w:p w:rsidR="00C93E02" w:rsidRPr="0084281F" w:rsidRDefault="00C93E02">
      <w:pPr>
        <w:pStyle w:val="Standard"/>
        <w:tabs>
          <w:tab w:val="left" w:pos="0"/>
          <w:tab w:val="left" w:pos="432"/>
          <w:tab w:val="left" w:pos="864"/>
          <w:tab w:val="left" w:pos="1296"/>
          <w:tab w:val="left" w:pos="1728"/>
        </w:tabs>
        <w:spacing w:line="240" w:lineRule="atLeast"/>
        <w:rPr>
          <w:rFonts w:ascii="Arial" w:hAnsi="Arial" w:cs="Arial"/>
        </w:rPr>
      </w:pPr>
    </w:p>
    <w:p w:rsidR="00C93E02" w:rsidRPr="0084281F" w:rsidRDefault="00C93E02">
      <w:pPr>
        <w:pStyle w:val="Standard"/>
        <w:rPr>
          <w:rFonts w:ascii="Arial" w:hAnsi="Arial" w:cs="Arial"/>
        </w:rPr>
      </w:pPr>
    </w:p>
    <w:p w:rsidR="00C93280" w:rsidRPr="0084281F" w:rsidRDefault="00C93280" w:rsidP="00D16104">
      <w:pPr>
        <w:rPr>
          <w:rFonts w:ascii="Arial" w:hAnsi="Arial" w:cs="Arial"/>
        </w:rPr>
      </w:pPr>
    </w:p>
    <w:sectPr w:rsidR="00C93280" w:rsidRPr="0084281F" w:rsidSect="003C3F1C">
      <w:headerReference w:type="default" r:id="rId8"/>
      <w:pgSz w:w="12240" w:h="15840" w:code="1"/>
      <w:pgMar w:top="720" w:right="1080" w:bottom="72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CA0" w:rsidRDefault="00365CA0" w:rsidP="00F878BD">
      <w:r>
        <w:separator/>
      </w:r>
    </w:p>
  </w:endnote>
  <w:endnote w:type="continuationSeparator" w:id="0">
    <w:p w:rsidR="00365CA0" w:rsidRDefault="00365CA0"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spac821 BT">
    <w:panose1 w:val="020B0609020202020204"/>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ho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CA0" w:rsidRDefault="00365CA0" w:rsidP="00F878BD">
      <w:r>
        <w:separator/>
      </w:r>
    </w:p>
  </w:footnote>
  <w:footnote w:type="continuationSeparator" w:id="0">
    <w:p w:rsidR="00365CA0" w:rsidRDefault="00365CA0"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A77" w:rsidRPr="001A1BC6" w:rsidRDefault="00726A77" w:rsidP="00726A7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00F7391"/>
    <w:multiLevelType w:val="hybridMultilevel"/>
    <w:tmpl w:val="62FA9D4E"/>
    <w:lvl w:ilvl="0" w:tplc="A496AB98">
      <w:start w:val="12"/>
      <w:numFmt w:val="lowerLetter"/>
      <w:lvlText w:val="(%1)"/>
      <w:lvlJc w:val="left"/>
      <w:pPr>
        <w:ind w:left="270" w:hanging="360"/>
      </w:pPr>
      <w:rPr>
        <w:rFonts w:ascii="Times New Roman" w:hAnsi="Times New Roman" w:cs="Times New Roman" w:hint="default"/>
        <w:b w:val="0"/>
        <w:bCs w:val="0"/>
        <w:i w:val="0"/>
        <w:iCs w:val="0"/>
        <w:strike w:val="0"/>
        <w:sz w:val="22"/>
        <w:szCs w:val="22"/>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4">
    <w:nsid w:val="364F3B84"/>
    <w:multiLevelType w:val="hybridMultilevel"/>
    <w:tmpl w:val="12C094D0"/>
    <w:lvl w:ilvl="0" w:tplc="3FBA1352">
      <w:start w:val="1"/>
      <w:numFmt w:val="lowerLetter"/>
      <w:lvlText w:val="(%1)"/>
      <w:lvlJc w:val="left"/>
      <w:pPr>
        <w:ind w:left="72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6">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9"/>
  </w:num>
  <w:num w:numId="4">
    <w:abstractNumId w:val="1"/>
  </w:num>
  <w:num w:numId="5">
    <w:abstractNumId w:val="6"/>
  </w:num>
  <w:num w:numId="6">
    <w:abstractNumId w:val="8"/>
  </w:num>
  <w:num w:numId="7">
    <w:abstractNumId w:val="2"/>
  </w:num>
  <w:num w:numId="8">
    <w:abstractNumId w:val="7"/>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05A4"/>
    <w:rsid w:val="000225FA"/>
    <w:rsid w:val="000E3C78"/>
    <w:rsid w:val="001C3F85"/>
    <w:rsid w:val="002145C4"/>
    <w:rsid w:val="00230276"/>
    <w:rsid w:val="003162A2"/>
    <w:rsid w:val="00365CA0"/>
    <w:rsid w:val="003823FC"/>
    <w:rsid w:val="003C3F1C"/>
    <w:rsid w:val="004249F3"/>
    <w:rsid w:val="00441D2F"/>
    <w:rsid w:val="004830D1"/>
    <w:rsid w:val="004B09DE"/>
    <w:rsid w:val="0056039E"/>
    <w:rsid w:val="00572D1D"/>
    <w:rsid w:val="005820A8"/>
    <w:rsid w:val="00593D21"/>
    <w:rsid w:val="00603893"/>
    <w:rsid w:val="006B1A52"/>
    <w:rsid w:val="00706DF8"/>
    <w:rsid w:val="0071231C"/>
    <w:rsid w:val="00726A77"/>
    <w:rsid w:val="00755FB3"/>
    <w:rsid w:val="007735BF"/>
    <w:rsid w:val="007854AB"/>
    <w:rsid w:val="00793590"/>
    <w:rsid w:val="00814549"/>
    <w:rsid w:val="0084281F"/>
    <w:rsid w:val="00870736"/>
    <w:rsid w:val="008B3BFC"/>
    <w:rsid w:val="008C59FF"/>
    <w:rsid w:val="008D4DE9"/>
    <w:rsid w:val="008E52E5"/>
    <w:rsid w:val="00923AF8"/>
    <w:rsid w:val="00935ABF"/>
    <w:rsid w:val="00973DFA"/>
    <w:rsid w:val="0098026E"/>
    <w:rsid w:val="00987248"/>
    <w:rsid w:val="009B3EF3"/>
    <w:rsid w:val="009F3FE4"/>
    <w:rsid w:val="00A14275"/>
    <w:rsid w:val="00A7142E"/>
    <w:rsid w:val="00A73269"/>
    <w:rsid w:val="00A76618"/>
    <w:rsid w:val="00A92397"/>
    <w:rsid w:val="00AA36CC"/>
    <w:rsid w:val="00AC7AF4"/>
    <w:rsid w:val="00B03922"/>
    <w:rsid w:val="00B25927"/>
    <w:rsid w:val="00B45DD9"/>
    <w:rsid w:val="00B91FF1"/>
    <w:rsid w:val="00BF2A60"/>
    <w:rsid w:val="00C93280"/>
    <w:rsid w:val="00C93E02"/>
    <w:rsid w:val="00D16104"/>
    <w:rsid w:val="00DE7DCD"/>
    <w:rsid w:val="00E647BB"/>
    <w:rsid w:val="00E85CC9"/>
    <w:rsid w:val="00EA7A41"/>
    <w:rsid w:val="00ED2EF6"/>
    <w:rsid w:val="00EF1243"/>
    <w:rsid w:val="00F04433"/>
    <w:rsid w:val="00F605A4"/>
    <w:rsid w:val="00F878BD"/>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99"/>
    <w:qFormat/>
    <w:rsid w:val="00D16104"/>
    <w:rPr>
      <w:rFonts w:ascii="Calibri" w:eastAsia="Calibri" w:hAnsi="Calibri"/>
      <w:sz w:val="22"/>
      <w:szCs w:val="22"/>
    </w:rPr>
  </w:style>
  <w:style w:type="paragraph" w:styleId="ListParagraph">
    <w:name w:val="List Paragraph"/>
    <w:basedOn w:val="Normal"/>
    <w:qFormat/>
    <w:rsid w:val="00C93280"/>
    <w:pPr>
      <w:spacing w:after="200" w:line="276" w:lineRule="auto"/>
      <w:ind w:left="720"/>
      <w:contextualSpacing/>
    </w:pPr>
    <w:rPr>
      <w:rFonts w:ascii="Calibri" w:eastAsia="Calibri" w:hAnsi="Calibri"/>
      <w:sz w:val="22"/>
      <w:szCs w:val="22"/>
    </w:rPr>
  </w:style>
  <w:style w:type="paragraph" w:customStyle="1" w:styleId="Standard">
    <w:name w:val="Standard"/>
    <w:rsid w:val="00C93E02"/>
    <w:pPr>
      <w:suppressAutoHyphens/>
      <w:autoSpaceDN w:val="0"/>
      <w:textAlignment w:val="baseline"/>
    </w:pPr>
    <w:rPr>
      <w:rFonts w:ascii="Courier" w:hAnsi="Courier"/>
      <w:kern w:val="3"/>
    </w:rPr>
  </w:style>
  <w:style w:type="paragraph" w:styleId="BalloonText">
    <w:name w:val="Balloon Text"/>
    <w:basedOn w:val="Normal"/>
    <w:link w:val="BalloonTextChar"/>
    <w:rsid w:val="008E52E5"/>
    <w:rPr>
      <w:rFonts w:ascii="Tahoma" w:hAnsi="Tahoma" w:cs="Tahoma"/>
      <w:sz w:val="16"/>
      <w:szCs w:val="16"/>
    </w:rPr>
  </w:style>
  <w:style w:type="character" w:customStyle="1" w:styleId="BalloonTextChar">
    <w:name w:val="Balloon Text Char"/>
    <w:link w:val="BalloonText"/>
    <w:rsid w:val="008E52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2080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creator>coyv</dc:creator>
  <cp:lastModifiedBy>Sagar, Mohan</cp:lastModifiedBy>
  <cp:revision>2</cp:revision>
  <cp:lastPrinted>2000-06-16T18:28:00Z</cp:lastPrinted>
  <dcterms:created xsi:type="dcterms:W3CDTF">2013-01-28T20:41:00Z</dcterms:created>
  <dcterms:modified xsi:type="dcterms:W3CDTF">2013-01-28T20:41:00Z</dcterms:modified>
</cp:coreProperties>
</file>