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290C93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-22225</wp:posOffset>
                </wp:positionV>
                <wp:extent cx="6561455" cy="82740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827405"/>
                          <a:chOff x="1440" y="1872"/>
                          <a:chExt cx="10333" cy="130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440" y="1872"/>
                            <a:ext cx="10333" cy="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CDO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2160"/>
                            <a:ext cx="2056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-1.75pt;width:516.65pt;height:65.15pt;z-index:251658240" coordorigin="1440,1872" coordsize="10333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" o:allowincell="f">
                <v:line id="Line 2" o:spid="_x0000_s1027" style="position:absolute;visibility:visible;mso-wrap-style:square" from="1440,1872" to="11773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DOTLOGO" style="position:absolute;left:9216;top:2160;width:205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nozDAAAA2gAAAA8AAABkcnMvZG93bnJldi54bWxEj0Frg0AUhO+B/oflFXpLVlNorHGVEGjJ&#10;pZSYkPOr+6IS962426j/vlso9DjMzDdMVkymE3caXGtZQbyKQBBXVrdcKzif3pYJCOeRNXaWScFM&#10;Dor8YZFhqu3IR7qXvhYBwi5FBY33fSqlqxoy6Fa2Jw7e1Q4GfZBDLfWAY4CbTq6j6EUabDksNNjT&#10;vqHqVn4bBV+b6KN2nzwekmp3iW03v17fZ6WeHqfdFoSnyf+H/9oHreAZfq+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SejMMAAADaAAAADwAAAAAAAAAAAAAAAACf&#10;AgAAZHJzL2Rvd25yZXYueG1sUEsFBgAAAAAEAAQA9wAAAI8DAAAAAA==&#10;">
                  <v:imagedata r:id="rId9" o:title="CDOTLOGO"/>
                </v:shape>
              </v:group>
            </w:pict>
          </mc:Fallback>
        </mc:AlternateConten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Section </w:t>
      </w:r>
      <w:r w:rsidR="004B45EF">
        <w:rPr>
          <w:rFonts w:cs="Arial"/>
          <w:sz w:val="22"/>
        </w:rPr>
        <w:t>208</w:t>
      </w:r>
      <w:r w:rsidR="00F917B4" w:rsidRPr="005E3D5F">
        <w:rPr>
          <w:rFonts w:cs="Arial"/>
          <w:sz w:val="22"/>
        </w:rPr>
        <w:t xml:space="preserve">, </w:t>
      </w:r>
      <w:r w:rsidR="0041424D">
        <w:rPr>
          <w:rFonts w:cs="Arial"/>
          <w:sz w:val="22"/>
        </w:rPr>
        <w:t>Aggregate Bag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F21C79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Revision of Section </w:t>
      </w:r>
      <w:r w:rsidR="004B45EF">
        <w:rPr>
          <w:rFonts w:cs="Arial"/>
          <w:sz w:val="22"/>
        </w:rPr>
        <w:t>208</w:t>
      </w:r>
      <w:r w:rsidR="00F21C79">
        <w:rPr>
          <w:rFonts w:cs="Arial"/>
          <w:sz w:val="22"/>
        </w:rPr>
        <w:t xml:space="preserve">, </w:t>
      </w:r>
      <w:r w:rsidR="0041424D">
        <w:rPr>
          <w:rFonts w:cs="Arial"/>
          <w:sz w:val="22"/>
        </w:rPr>
        <w:t>Aggregate</w:t>
      </w:r>
      <w:r w:rsidR="007627A4">
        <w:rPr>
          <w:rFonts w:cs="Arial"/>
          <w:sz w:val="22"/>
        </w:rPr>
        <w:t xml:space="preserve"> Bag</w:t>
      </w:r>
      <w:r w:rsidRPr="005E3D5F">
        <w:rPr>
          <w:rFonts w:cs="Arial"/>
          <w:sz w:val="22"/>
        </w:rPr>
        <w:t xml:space="preserve">.  This special provision is </w:t>
      </w:r>
      <w:r w:rsidR="00F21C79">
        <w:rPr>
          <w:rFonts w:cs="Arial"/>
          <w:sz w:val="22"/>
        </w:rPr>
        <w:t>1 page</w:t>
      </w:r>
      <w:r w:rsidRPr="005E3D5F">
        <w:rPr>
          <w:rFonts w:cs="Arial"/>
          <w:sz w:val="22"/>
        </w:rPr>
        <w:t xml:space="preserve"> long, and is dated </w:t>
      </w:r>
      <w:r w:rsidR="006F5A9E" w:rsidRPr="005E3D5F">
        <w:rPr>
          <w:rFonts w:cs="Arial"/>
          <w:sz w:val="22"/>
        </w:rPr>
        <w:t xml:space="preserve">January </w:t>
      </w:r>
      <w:r w:rsidR="007627A4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is to be used in </w:t>
      </w:r>
      <w:r w:rsidR="00B012B9">
        <w:rPr>
          <w:rFonts w:cs="Arial"/>
          <w:sz w:val="22"/>
        </w:rPr>
        <w:t xml:space="preserve">projects having </w:t>
      </w:r>
      <w:r w:rsidR="008107CF">
        <w:rPr>
          <w:rFonts w:cs="Arial"/>
          <w:sz w:val="22"/>
        </w:rPr>
        <w:t>aggregate bags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F21C79" w:rsidRPr="00F21C79" w:rsidRDefault="00F21C79" w:rsidP="00F21C79">
      <w:pPr>
        <w:pStyle w:val="InsideAddress"/>
        <w:rPr>
          <w:rFonts w:cs="Arial"/>
          <w:sz w:val="22"/>
        </w:rPr>
      </w:pPr>
    </w:p>
    <w:p w:rsidR="00515404" w:rsidRDefault="00515404" w:rsidP="00F21C79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 xml:space="preserve">This new standard special </w:t>
      </w:r>
      <w:r w:rsidR="0041424D">
        <w:rPr>
          <w:rFonts w:cs="Arial"/>
          <w:sz w:val="22"/>
        </w:rPr>
        <w:t>changes the name of gravel bags to the industry accepted aggregate bags, and upgrades the requirements for these.</w:t>
      </w:r>
      <w:r w:rsidR="007627A4">
        <w:rPr>
          <w:rFonts w:cs="Arial"/>
          <w:sz w:val="22"/>
        </w:rPr>
        <w:t xml:space="preserve"> It also allows recycled rubber as fill in the bag.</w:t>
      </w:r>
    </w:p>
    <w:p w:rsidR="006F5A9E" w:rsidRPr="005E3D5F" w:rsidRDefault="006F5A9E" w:rsidP="00F21C79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515404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F5595C" w:rsidP="006D675F">
      <w:pPr>
        <w:pStyle w:val="InsideAddress"/>
        <w:rPr>
          <w:rFonts w:cs="Arial"/>
        </w:rPr>
      </w:pPr>
      <w:hyperlink r:id="rId10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Default="00515404">
      <w:pPr>
        <w:pStyle w:val="InsideAddres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</w:t>
      </w:r>
      <w:r w:rsidR="00E650F6">
        <w:rPr>
          <w:rFonts w:cs="Arial"/>
          <w:sz w:val="22"/>
          <w:szCs w:val="22"/>
        </w:rPr>
        <w:t xml:space="preserve"> feel </w:t>
      </w:r>
      <w:r>
        <w:rPr>
          <w:rFonts w:cs="Arial"/>
          <w:sz w:val="22"/>
          <w:szCs w:val="22"/>
        </w:rPr>
        <w:t xml:space="preserve">free to contact this office if you have questions or comments.  </w:t>
      </w:r>
    </w:p>
    <w:p w:rsidR="00515404" w:rsidRPr="00515404" w:rsidRDefault="00515404">
      <w:pPr>
        <w:pStyle w:val="InsideAddress"/>
        <w:rPr>
          <w:rFonts w:cs="Arial"/>
          <w:sz w:val="22"/>
          <w:szCs w:val="22"/>
        </w:rPr>
      </w:pP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mrs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1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5C" w:rsidRDefault="00F5595C">
      <w:r>
        <w:separator/>
      </w:r>
    </w:p>
  </w:endnote>
  <w:endnote w:type="continuationSeparator" w:id="0">
    <w:p w:rsidR="00F5595C" w:rsidRDefault="00F5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5C" w:rsidRDefault="00F5595C">
      <w:r>
        <w:separator/>
      </w:r>
    </w:p>
  </w:footnote>
  <w:footnote w:type="continuationSeparator" w:id="0">
    <w:p w:rsidR="00F5595C" w:rsidRDefault="00F5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1540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90C93">
      <w:rPr>
        <w:noProof/>
      </w:rPr>
      <w:t>February 1,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F"/>
    <w:rsid w:val="000F0222"/>
    <w:rsid w:val="00290C93"/>
    <w:rsid w:val="00392223"/>
    <w:rsid w:val="003D27E3"/>
    <w:rsid w:val="0040705C"/>
    <w:rsid w:val="0041424D"/>
    <w:rsid w:val="004B45EF"/>
    <w:rsid w:val="004C00C1"/>
    <w:rsid w:val="00515404"/>
    <w:rsid w:val="00572B64"/>
    <w:rsid w:val="005D03E8"/>
    <w:rsid w:val="005E3D5F"/>
    <w:rsid w:val="0068532F"/>
    <w:rsid w:val="006D675F"/>
    <w:rsid w:val="006F5A9E"/>
    <w:rsid w:val="007627A4"/>
    <w:rsid w:val="007D6C1C"/>
    <w:rsid w:val="008107CF"/>
    <w:rsid w:val="0086737E"/>
    <w:rsid w:val="0090340E"/>
    <w:rsid w:val="00A322B2"/>
    <w:rsid w:val="00A50105"/>
    <w:rsid w:val="00AA00AF"/>
    <w:rsid w:val="00B012B9"/>
    <w:rsid w:val="00B15148"/>
    <w:rsid w:val="00D46A24"/>
    <w:rsid w:val="00E60A51"/>
    <w:rsid w:val="00E650F6"/>
    <w:rsid w:val="00F21C79"/>
    <w:rsid w:val="00F3636D"/>
    <w:rsid w:val="00F5595C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oradodot.info/business/designsupport/construction-specifications/2011-Specs/recently-issued-special-provi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1730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Louis Avgeris</cp:lastModifiedBy>
  <cp:revision>2</cp:revision>
  <cp:lastPrinted>1999-05-04T20:40:00Z</cp:lastPrinted>
  <dcterms:created xsi:type="dcterms:W3CDTF">2013-02-01T18:02:00Z</dcterms:created>
  <dcterms:modified xsi:type="dcterms:W3CDTF">2013-02-01T18:02:00Z</dcterms:modified>
  <cp:category>Letter</cp:category>
</cp:coreProperties>
</file>