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1B0B0B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750" cy="543560"/>
            <wp:effectExtent l="0" t="0" r="0" b="889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5F24CD">
        <w:rPr>
          <w:rFonts w:ascii="Arial" w:hAnsi="Arial" w:cs="Arial"/>
          <w:sz w:val="22"/>
          <w:szCs w:val="22"/>
        </w:rPr>
        <w:t>December 26,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 w:rsidP="00DC57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5F24CD">
        <w:rPr>
          <w:rFonts w:ascii="Arial" w:hAnsi="Arial" w:cs="Arial"/>
          <w:sz w:val="22"/>
          <w:szCs w:val="22"/>
        </w:rPr>
        <w:t>Disadvantaged Business Enterprise (DBE) Requirements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248DC" w:rsidRDefault="00B01C51" w:rsidP="0094536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7823CF">
        <w:rPr>
          <w:rFonts w:ascii="Arial" w:hAnsi="Arial" w:cs="Arial"/>
          <w:sz w:val="22"/>
          <w:szCs w:val="22"/>
        </w:rPr>
        <w:t>revised version of the</w:t>
      </w:r>
      <w:r>
        <w:rPr>
          <w:rFonts w:ascii="Arial" w:hAnsi="Arial" w:cs="Arial"/>
          <w:sz w:val="22"/>
          <w:szCs w:val="22"/>
        </w:rPr>
        <w:t xml:space="preserve"> Standard Special Provision, </w:t>
      </w:r>
      <w:r w:rsidR="005F24CD">
        <w:rPr>
          <w:rFonts w:ascii="Arial" w:hAnsi="Arial" w:cs="Arial"/>
          <w:sz w:val="22"/>
          <w:szCs w:val="22"/>
        </w:rPr>
        <w:t>Disadvantaged Business Enterprise (DBE) Requirements</w:t>
      </w:r>
      <w:r>
        <w:rPr>
          <w:rFonts w:ascii="Arial" w:hAnsi="Arial" w:cs="Arial"/>
          <w:sz w:val="22"/>
          <w:szCs w:val="22"/>
        </w:rPr>
        <w:t xml:space="preserve">.  This </w:t>
      </w:r>
      <w:r w:rsidR="00A23EAD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is </w:t>
      </w:r>
      <w:r w:rsidR="00A23EAD">
        <w:rPr>
          <w:rFonts w:ascii="Arial" w:hAnsi="Arial" w:cs="Arial"/>
          <w:sz w:val="22"/>
          <w:szCs w:val="22"/>
        </w:rPr>
        <w:t xml:space="preserve">9 pages long, and replaces the standard special provision titled Disadvantaged Business Enterprise (DBE) Definitions and Requirements, dated </w:t>
      </w:r>
      <w:r w:rsidR="0094536D">
        <w:rPr>
          <w:rFonts w:ascii="Arial" w:hAnsi="Arial" w:cs="Arial"/>
          <w:sz w:val="22"/>
          <w:szCs w:val="22"/>
        </w:rPr>
        <w:t>February 3, 2011.</w:t>
      </w:r>
    </w:p>
    <w:p w:rsidR="0094536D" w:rsidRDefault="0094536D" w:rsidP="0094536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use of this revised standard special is </w:t>
      </w:r>
      <w:r w:rsidR="003D17D2">
        <w:rPr>
          <w:rFonts w:ascii="Arial" w:hAnsi="Arial" w:cs="Arial"/>
          <w:sz w:val="22"/>
          <w:szCs w:val="22"/>
        </w:rPr>
        <w:t xml:space="preserve">required on </w:t>
      </w:r>
      <w:r>
        <w:rPr>
          <w:rFonts w:ascii="Arial" w:hAnsi="Arial" w:cs="Arial"/>
          <w:sz w:val="22"/>
          <w:szCs w:val="22"/>
        </w:rPr>
        <w:t>all</w:t>
      </w:r>
      <w:r w:rsidR="003D17D2">
        <w:rPr>
          <w:rFonts w:ascii="Arial" w:hAnsi="Arial" w:cs="Arial"/>
          <w:sz w:val="22"/>
          <w:szCs w:val="22"/>
        </w:rPr>
        <w:t xml:space="preserve"> partially or wholly funded</w:t>
      </w:r>
      <w:r>
        <w:rPr>
          <w:rFonts w:ascii="Arial" w:hAnsi="Arial" w:cs="Arial"/>
          <w:sz w:val="22"/>
          <w:szCs w:val="22"/>
        </w:rPr>
        <w:t xml:space="preserve"> Federal-Aid Design-Bid-Build </w:t>
      </w:r>
      <w:r w:rsidR="00EC634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rojects</w:t>
      </w:r>
      <w:r w:rsidR="00EC6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having bid openings on or after January </w:t>
      </w:r>
      <w:r w:rsidR="003D17D2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, 2014.  </w:t>
      </w:r>
      <w:r w:rsidR="002B31E6">
        <w:rPr>
          <w:rFonts w:ascii="Arial" w:hAnsi="Arial" w:cs="Arial"/>
          <w:sz w:val="22"/>
          <w:szCs w:val="22"/>
        </w:rPr>
        <w:t xml:space="preserve">A revision under ad is required.  </w:t>
      </w:r>
      <w:r w:rsidR="00DC578D">
        <w:rPr>
          <w:rFonts w:ascii="Arial" w:hAnsi="Arial" w:cs="Arial"/>
          <w:sz w:val="22"/>
          <w:szCs w:val="22"/>
        </w:rPr>
        <w:t xml:space="preserve">Use of this special provision in projects having bid openings before this date is not permitted.  </w:t>
      </w:r>
      <w:r>
        <w:rPr>
          <w:rFonts w:ascii="Arial" w:hAnsi="Arial" w:cs="Arial"/>
          <w:sz w:val="22"/>
          <w:szCs w:val="22"/>
        </w:rPr>
        <w:t xml:space="preserve">The standard special provision should be used in conjunction with the revised project special provision worksheet, Disadvantaged </w:t>
      </w:r>
      <w:r w:rsidR="009A2645">
        <w:rPr>
          <w:rFonts w:ascii="Arial" w:hAnsi="Arial" w:cs="Arial"/>
          <w:sz w:val="22"/>
          <w:szCs w:val="22"/>
        </w:rPr>
        <w:t>Business Enterprise (DBE) Contract Goal, which is being issued effective this same date.</w:t>
      </w:r>
    </w:p>
    <w:p w:rsidR="005E663A" w:rsidRDefault="00077A8E" w:rsidP="005E663A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standard special provision has been rewritten in accordance with changes to the DBE regulation and to </w:t>
      </w:r>
      <w:r w:rsidR="00396F81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issues of noncompliance and com</w:t>
      </w:r>
      <w:r w:rsidR="005E663A">
        <w:rPr>
          <w:rFonts w:ascii="Arial" w:hAnsi="Arial" w:cs="Arial"/>
          <w:sz w:val="22"/>
          <w:szCs w:val="22"/>
        </w:rPr>
        <w:t>patibility with CDOT AASHTOWare.</w:t>
      </w:r>
      <w:r>
        <w:rPr>
          <w:rFonts w:ascii="Arial" w:hAnsi="Arial" w:cs="Arial"/>
          <w:sz w:val="22"/>
          <w:szCs w:val="22"/>
        </w:rPr>
        <w:t xml:space="preserve"> </w:t>
      </w:r>
      <w:r w:rsidR="00396F81">
        <w:rPr>
          <w:rFonts w:ascii="Arial" w:hAnsi="Arial" w:cs="Arial"/>
          <w:sz w:val="22"/>
          <w:szCs w:val="22"/>
        </w:rPr>
        <w:t>Significant</w:t>
      </w:r>
      <w:r w:rsidR="00D80A19">
        <w:rPr>
          <w:rFonts w:ascii="Arial" w:hAnsi="Arial" w:cs="Arial"/>
          <w:sz w:val="22"/>
          <w:szCs w:val="22"/>
        </w:rPr>
        <w:t xml:space="preserve"> changes include</w:t>
      </w:r>
      <w:r w:rsidR="005E663A">
        <w:rPr>
          <w:rFonts w:ascii="Arial" w:hAnsi="Arial" w:cs="Arial"/>
          <w:sz w:val="22"/>
          <w:szCs w:val="22"/>
        </w:rPr>
        <w:t xml:space="preserve"> new forms: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1413: Bidders List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1414: Anticipated DBE Participation Plan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1415: Commitment Confirmation 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1416: Good Faith Effort Report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1417: Approved DBE Participation Plan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1419: DBE Participation Report</w:t>
      </w:r>
    </w:p>
    <w:p w:rsidR="00273F44" w:rsidRPr="00273F44" w:rsidRDefault="00273F44" w:rsidP="00273F44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2"/>
          <w:szCs w:val="22"/>
        </w:rPr>
      </w:pPr>
      <w:r w:rsidRPr="00273F44">
        <w:rPr>
          <w:rFonts w:ascii="Arial" w:hAnsi="Arial" w:cs="Arial"/>
          <w:color w:val="222222"/>
          <w:sz w:val="22"/>
          <w:szCs w:val="22"/>
        </w:rPr>
        <w:t>Form 1420:  DBE Participation Plan Modification </w:t>
      </w:r>
    </w:p>
    <w:p w:rsidR="00273F44" w:rsidRDefault="00273F44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7823CF">
        <w:rPr>
          <w:rFonts w:ascii="Arial" w:hAnsi="Arial" w:cs="Arial"/>
          <w:sz w:val="22"/>
          <w:szCs w:val="22"/>
        </w:rPr>
        <w:t>replace the now obsolete Standard Special Provision with this revised version.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>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1B0B0B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7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785968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785968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D6D"/>
    <w:multiLevelType w:val="hybridMultilevel"/>
    <w:tmpl w:val="BB94AE46"/>
    <w:lvl w:ilvl="0" w:tplc="4824FB9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844EA"/>
    <w:multiLevelType w:val="hybridMultilevel"/>
    <w:tmpl w:val="0F78B67E"/>
    <w:lvl w:ilvl="0" w:tplc="4824FB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B08"/>
    <w:multiLevelType w:val="hybridMultilevel"/>
    <w:tmpl w:val="4D307F04"/>
    <w:lvl w:ilvl="0" w:tplc="799862A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77A8E"/>
    <w:rsid w:val="000D2FC9"/>
    <w:rsid w:val="001B0B0B"/>
    <w:rsid w:val="00273F44"/>
    <w:rsid w:val="002B31E6"/>
    <w:rsid w:val="00396F81"/>
    <w:rsid w:val="003D17D2"/>
    <w:rsid w:val="004244E3"/>
    <w:rsid w:val="00586034"/>
    <w:rsid w:val="005E663A"/>
    <w:rsid w:val="005F24CD"/>
    <w:rsid w:val="007823CF"/>
    <w:rsid w:val="00785968"/>
    <w:rsid w:val="0094536D"/>
    <w:rsid w:val="009A2645"/>
    <w:rsid w:val="00A23EAD"/>
    <w:rsid w:val="00B01C51"/>
    <w:rsid w:val="00B66DE6"/>
    <w:rsid w:val="00BA34FD"/>
    <w:rsid w:val="00BB24D8"/>
    <w:rsid w:val="00C248DC"/>
    <w:rsid w:val="00CD6E99"/>
    <w:rsid w:val="00D80A19"/>
    <w:rsid w:val="00DC578D"/>
    <w:rsid w:val="00E6029A"/>
    <w:rsid w:val="00EC634D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CommentSubject">
    <w:name w:val="annotation subject"/>
    <w:basedOn w:val="CommentText"/>
    <w:next w:val="CommentText"/>
    <w:link w:val="CommentSubjectChar"/>
    <w:rsid w:val="00D80A19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link w:val="FootnoteBase"/>
    <w:rsid w:val="00D80A19"/>
    <w:rPr>
      <w:sz w:val="18"/>
    </w:rPr>
  </w:style>
  <w:style w:type="character" w:customStyle="1" w:styleId="CommentTextChar">
    <w:name w:val="Comment Text Char"/>
    <w:link w:val="CommentText"/>
    <w:semiHidden/>
    <w:rsid w:val="00D80A19"/>
    <w:rPr>
      <w:sz w:val="18"/>
    </w:rPr>
  </w:style>
  <w:style w:type="character" w:customStyle="1" w:styleId="CommentSubjectChar">
    <w:name w:val="Comment Subject Char"/>
    <w:link w:val="CommentSubject"/>
    <w:rsid w:val="00D80A19"/>
    <w:rPr>
      <w:b/>
      <w:bCs/>
      <w:sz w:val="18"/>
    </w:rPr>
  </w:style>
  <w:style w:type="paragraph" w:styleId="BalloonText">
    <w:name w:val="Balloon Text"/>
    <w:basedOn w:val="Normal"/>
    <w:link w:val="BalloonTextChar"/>
    <w:rsid w:val="00D80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CommentSubject">
    <w:name w:val="annotation subject"/>
    <w:basedOn w:val="CommentText"/>
    <w:next w:val="CommentText"/>
    <w:link w:val="CommentSubjectChar"/>
    <w:rsid w:val="00D80A19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link w:val="FootnoteBase"/>
    <w:rsid w:val="00D80A19"/>
    <w:rPr>
      <w:sz w:val="18"/>
    </w:rPr>
  </w:style>
  <w:style w:type="character" w:customStyle="1" w:styleId="CommentTextChar">
    <w:name w:val="Comment Text Char"/>
    <w:link w:val="CommentText"/>
    <w:semiHidden/>
    <w:rsid w:val="00D80A19"/>
    <w:rPr>
      <w:sz w:val="18"/>
    </w:rPr>
  </w:style>
  <w:style w:type="character" w:customStyle="1" w:styleId="CommentSubjectChar">
    <w:name w:val="Comment Subject Char"/>
    <w:link w:val="CommentSubject"/>
    <w:rsid w:val="00D80A19"/>
    <w:rPr>
      <w:b/>
      <w:bCs/>
      <w:sz w:val="18"/>
    </w:rPr>
  </w:style>
  <w:style w:type="paragraph" w:styleId="BalloonText">
    <w:name w:val="Balloon Text"/>
    <w:basedOn w:val="Normal"/>
    <w:link w:val="BalloonTextChar"/>
    <w:rsid w:val="00D80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/recently-issued-special-prov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2547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2013-12-27T23:05:00Z</dcterms:created>
  <dcterms:modified xsi:type="dcterms:W3CDTF">2013-12-27T23:05:00Z</dcterms:modified>
</cp:coreProperties>
</file>