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34" w:rsidRDefault="004D1834">
      <w:pPr>
        <w:pStyle w:val="Title"/>
      </w:pPr>
    </w:p>
    <w:p w:rsidR="004D1834" w:rsidRDefault="001C0A64" w:rsidP="00DB39CF">
      <w:pPr>
        <w:pStyle w:val="Subtitle"/>
        <w:jc w:val="right"/>
        <w:rPr>
          <w:rFonts w:hint="eastAsia"/>
          <w:i w:val="0"/>
          <w:color w:val="000000"/>
        </w:rPr>
      </w:pPr>
      <w:r>
        <w:rPr>
          <w:i w:val="0"/>
          <w:color w:val="000000"/>
        </w:rPr>
        <w:t>January 30, 2014</w:t>
      </w:r>
    </w:p>
    <w:p w:rsidR="00DB39CF" w:rsidRDefault="00DB39CF" w:rsidP="00DB39CF">
      <w:pPr>
        <w:pStyle w:val="BodyText"/>
        <w:rPr>
          <w:lang w:eastAsia="ar-SA"/>
        </w:rPr>
      </w:pPr>
    </w:p>
    <w:p w:rsidR="00DB39CF" w:rsidRPr="00884DC0" w:rsidRDefault="00DB39CF" w:rsidP="00DB39CF">
      <w:pPr>
        <w:pStyle w:val="BodyText"/>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p>
    <w:p w:rsidR="00DB39CF" w:rsidRPr="00884DC0" w:rsidRDefault="00DB39CF" w:rsidP="00DB39CF">
      <w:pPr>
        <w:pStyle w:val="BodyText"/>
        <w:jc w:val="center"/>
        <w:rPr>
          <w:rFonts w:ascii="Arial" w:hAnsi="Arial" w:cs="Arial"/>
          <w:b w:val="0"/>
          <w:sz w:val="28"/>
          <w:szCs w:val="28"/>
          <w:lang w:eastAsia="ar-SA"/>
        </w:rPr>
      </w:pPr>
      <w:r w:rsidRPr="00884DC0">
        <w:rPr>
          <w:rFonts w:ascii="Arial" w:hAnsi="Arial" w:cs="Arial"/>
          <w:b w:val="0"/>
          <w:sz w:val="28"/>
          <w:szCs w:val="28"/>
          <w:lang w:eastAsia="ar-SA"/>
        </w:rPr>
        <w:t>CONFORMITY TO THE CONTRACT OF HOT MIX ASPHALT</w:t>
      </w:r>
    </w:p>
    <w:p w:rsidR="00DB39CF" w:rsidRPr="00884DC0" w:rsidRDefault="00DB39CF" w:rsidP="00DB39CF">
      <w:pPr>
        <w:pStyle w:val="BodyText"/>
        <w:jc w:val="center"/>
        <w:rPr>
          <w:rFonts w:ascii="Arial" w:hAnsi="Arial" w:cs="Arial"/>
          <w:b w:val="0"/>
          <w:sz w:val="28"/>
          <w:szCs w:val="28"/>
          <w:lang w:eastAsia="ar-SA"/>
        </w:rPr>
      </w:pPr>
      <w:r w:rsidRPr="00884DC0">
        <w:rPr>
          <w:rFonts w:ascii="Arial" w:hAnsi="Arial" w:cs="Arial"/>
          <w:b w:val="0"/>
          <w:sz w:val="28"/>
          <w:szCs w:val="28"/>
          <w:lang w:eastAsia="ar-SA"/>
        </w:rPr>
        <w:t>(VOIDS ACCEPTANCE)</w:t>
      </w:r>
    </w:p>
    <w:p w:rsidR="004D1834" w:rsidRPr="00884DC0" w:rsidRDefault="004D1834">
      <w:pPr>
        <w:pStyle w:val="Title"/>
        <w:rPr>
          <w:b w:val="0"/>
          <w:sz w:val="28"/>
          <w:szCs w:val="28"/>
        </w:rPr>
      </w:pPr>
    </w:p>
    <w:p w:rsidR="004D1834" w:rsidRDefault="004D1834">
      <w:pPr>
        <w:widowControl w:val="0"/>
        <w:spacing w:line="264" w:lineRule="atLeast"/>
        <w:jc w:val="center"/>
        <w:rPr>
          <w:rFonts w:ascii="Arial" w:hAnsi="Arial"/>
          <w:b/>
          <w:sz w:val="28"/>
        </w:rPr>
      </w:pPr>
    </w:p>
    <w:p w:rsidR="004D1834" w:rsidRDefault="004D1834" w:rsidP="004D1834">
      <w:pPr>
        <w:pStyle w:val="Heading1"/>
        <w:widowControl w:val="0"/>
        <w:numPr>
          <w:ilvl w:val="0"/>
          <w:numId w:val="10"/>
        </w:numPr>
        <w:tabs>
          <w:tab w:val="left" w:pos="0"/>
        </w:tabs>
        <w:suppressAutoHyphens/>
        <w:spacing w:line="264" w:lineRule="atLeast"/>
        <w:rPr>
          <w:rFonts w:ascii="Times New Roman" w:hAnsi="Times New Roman"/>
          <w:sz w:val="40"/>
          <w:szCs w:val="40"/>
        </w:rPr>
      </w:pPr>
      <w:r>
        <w:rPr>
          <w:rFonts w:ascii="Times New Roman" w:hAnsi="Times New Roman"/>
          <w:sz w:val="40"/>
          <w:szCs w:val="40"/>
        </w:rPr>
        <w:t>NOTICE</w:t>
      </w:r>
    </w:p>
    <w:p w:rsidR="004D1834" w:rsidRDefault="004D1834">
      <w:pPr>
        <w:widowControl w:val="0"/>
        <w:spacing w:line="264" w:lineRule="atLeast"/>
        <w:jc w:val="center"/>
        <w:rPr>
          <w:sz w:val="32"/>
        </w:rPr>
      </w:pPr>
    </w:p>
    <w:p w:rsidR="004D1834" w:rsidRDefault="004D1834">
      <w:pPr>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D1834" w:rsidRDefault="004D1834">
      <w:pPr>
        <w:rPr>
          <w:sz w:val="28"/>
          <w:szCs w:val="28"/>
        </w:rPr>
      </w:pPr>
    </w:p>
    <w:p w:rsidR="004D1834" w:rsidRDefault="004D1834">
      <w:pPr>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rsidR="004D1834" w:rsidRDefault="004D1834">
      <w:pPr>
        <w:rPr>
          <w:sz w:val="28"/>
          <w:szCs w:val="28"/>
        </w:rPr>
      </w:pPr>
    </w:p>
    <w:p w:rsidR="004D1834" w:rsidRDefault="004D1834">
      <w:pPr>
        <w:rPr>
          <w:b/>
          <w:smallCaps/>
          <w:sz w:val="28"/>
          <w:szCs w:val="28"/>
        </w:rPr>
      </w:pPr>
      <w:r>
        <w:rPr>
          <w:b/>
          <w:smallCaps/>
          <w:sz w:val="28"/>
          <w:szCs w:val="28"/>
        </w:rPr>
        <w:t xml:space="preserve">Instructions for use on CDOT construction projects:  </w:t>
      </w:r>
    </w:p>
    <w:p w:rsidR="004D1834" w:rsidRDefault="004D1834">
      <w:pPr>
        <w:rPr>
          <w:sz w:val="28"/>
          <w:szCs w:val="28"/>
        </w:rPr>
      </w:pPr>
    </w:p>
    <w:p w:rsidR="004D1834" w:rsidRDefault="004D1834">
      <w:pPr>
        <w:pStyle w:val="BodyText2"/>
        <w:rPr>
          <w:szCs w:val="28"/>
        </w:rPr>
      </w:pPr>
      <w:r>
        <w:rPr>
          <w:szCs w:val="28"/>
        </w:rPr>
        <w:t>Use this standard special provision on projects with 5000 or more tons of hot mix asphalt when acceptance is based on air voids, and other elements.</w:t>
      </w:r>
    </w:p>
    <w:p w:rsidR="004D1834" w:rsidRDefault="004D1834">
      <w:pPr>
        <w:pStyle w:val="BodyText2"/>
        <w:rPr>
          <w:szCs w:val="28"/>
        </w:rPr>
      </w:pPr>
    </w:p>
    <w:p w:rsidR="004D1834" w:rsidRDefault="004D1834">
      <w:pPr>
        <w:widowControl w:val="0"/>
        <w:spacing w:line="264" w:lineRule="atLeast"/>
        <w:rPr>
          <w:rFonts w:ascii="Arial" w:hAnsi="Arial"/>
          <w:sz w:val="22"/>
        </w:rPr>
      </w:pPr>
    </w:p>
    <w:p w:rsidR="004D1834" w:rsidRDefault="004D1834">
      <w:pPr>
        <w:widowControl w:val="0"/>
        <w:spacing w:line="264" w:lineRule="atLeast"/>
        <w:jc w:val="center"/>
        <w:rPr>
          <w:rFonts w:ascii="Arial" w:hAnsi="Arial"/>
          <w:sz w:val="28"/>
        </w:rPr>
      </w:pPr>
    </w:p>
    <w:p w:rsidR="004D1834" w:rsidRDefault="004D1834">
      <w:pPr>
        <w:sectPr w:rsidR="004D1834" w:rsidSect="00522DB7">
          <w:pgSz w:w="12240" w:h="15840" w:code="1"/>
          <w:pgMar w:top="720" w:right="1080" w:bottom="432" w:left="1080" w:header="720" w:footer="720" w:gutter="0"/>
          <w:pgNumType w:start="0"/>
          <w:cols w:space="720"/>
        </w:sectPr>
      </w:pPr>
    </w:p>
    <w:p w:rsidR="004D1834" w:rsidRDefault="004D1834">
      <w:pPr>
        <w:widowControl w:val="0"/>
        <w:spacing w:line="264" w:lineRule="atLeast"/>
        <w:rPr>
          <w:rFonts w:ascii="Arial" w:hAnsi="Arial"/>
          <w:sz w:val="28"/>
        </w:rPr>
      </w:pPr>
    </w:p>
    <w:p w:rsidR="004D1834" w:rsidRPr="00884DC0" w:rsidRDefault="004D1834">
      <w:pPr>
        <w:widowControl w:val="0"/>
        <w:rPr>
          <w:rFonts w:ascii="Arial" w:hAnsi="Arial" w:cs="Arial"/>
        </w:rPr>
      </w:pPr>
      <w:r>
        <w:rPr>
          <w:rFonts w:ascii="Arial" w:hAnsi="Arial" w:cs="Arial"/>
        </w:rPr>
        <w:t xml:space="preserve">Sections </w:t>
      </w:r>
      <w:r w:rsidRPr="00884DC0">
        <w:rPr>
          <w:rFonts w:ascii="Arial" w:hAnsi="Arial" w:cs="Arial"/>
        </w:rPr>
        <w:t>105 and 106 of the Standard Specifications are hereby revised for this project as follows:</w:t>
      </w:r>
    </w:p>
    <w:p w:rsidR="004D1834" w:rsidRPr="00884DC0" w:rsidRDefault="004D1834">
      <w:pPr>
        <w:widowControl w:val="0"/>
        <w:rPr>
          <w:rFonts w:ascii="Arial" w:hAnsi="Arial" w:cs="Arial"/>
        </w:rPr>
      </w:pPr>
    </w:p>
    <w:p w:rsidR="004D1834" w:rsidRPr="00884DC0" w:rsidRDefault="004D1834">
      <w:pPr>
        <w:jc w:val="both"/>
        <w:rPr>
          <w:rFonts w:ascii="Arial" w:hAnsi="Arial" w:cs="Arial"/>
        </w:rPr>
      </w:pPr>
      <w:r w:rsidRPr="00884DC0">
        <w:rPr>
          <w:rFonts w:ascii="Arial" w:hAnsi="Arial" w:cs="Arial"/>
        </w:rPr>
        <w:t>Delete subsection 105.05 and replace with the following:</w:t>
      </w:r>
    </w:p>
    <w:p w:rsidR="004D1834" w:rsidRPr="00884DC0" w:rsidRDefault="004D1834">
      <w:pPr>
        <w:jc w:val="both"/>
        <w:rPr>
          <w:rFonts w:ascii="Arial" w:hAnsi="Arial" w:cs="Arial"/>
        </w:rPr>
      </w:pPr>
    </w:p>
    <w:p w:rsidR="004D1834" w:rsidRPr="00884DC0" w:rsidRDefault="004D1834">
      <w:pPr>
        <w:widowControl w:val="0"/>
        <w:rPr>
          <w:rFonts w:ascii="Arial" w:hAnsi="Arial" w:cs="Arial"/>
        </w:rPr>
      </w:pPr>
      <w:proofErr w:type="gramStart"/>
      <w:r w:rsidRPr="00884DC0">
        <w:rPr>
          <w:rFonts w:ascii="Arial" w:hAnsi="Arial" w:cs="Arial"/>
          <w:b/>
        </w:rPr>
        <w:t>105.05  Conformity</w:t>
      </w:r>
      <w:proofErr w:type="gramEnd"/>
      <w:r w:rsidRPr="00884DC0">
        <w:rPr>
          <w:rFonts w:ascii="Arial" w:hAnsi="Arial" w:cs="Arial"/>
          <w:b/>
        </w:rPr>
        <w:t xml:space="preserve"> to the Contract of Hot Mix Asphalt.  </w:t>
      </w:r>
      <w:r w:rsidRPr="00884DC0">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rsidR="004D1834" w:rsidRPr="00884DC0" w:rsidRDefault="004D1834">
      <w:pPr>
        <w:widowControl w:val="0"/>
        <w:rPr>
          <w:rFonts w:ascii="Arial" w:hAnsi="Arial" w:cs="Arial"/>
        </w:rPr>
      </w:pPr>
      <w:r w:rsidRPr="00884DC0">
        <w:rPr>
          <w:rFonts w:ascii="Arial" w:hAnsi="Arial" w:cs="Arial"/>
        </w:rPr>
        <w:t xml:space="preserve">             </w:t>
      </w:r>
    </w:p>
    <w:p w:rsidR="004D1834" w:rsidRPr="00884DC0" w:rsidRDefault="004D1834">
      <w:pPr>
        <w:widowControl w:val="0"/>
        <w:rPr>
          <w:rFonts w:ascii="Arial" w:hAnsi="Arial" w:cs="Arial"/>
        </w:rPr>
      </w:pPr>
      <w:r w:rsidRPr="00884DC0">
        <w:rPr>
          <w:rFonts w:ascii="Arial" w:hAnsi="Arial" w:cs="Arial"/>
        </w:rPr>
        <w:t>For those items of work where working tolerances are not specified, the Contractor shall perform the work in a manner consistent with reasonable and customary manufacturing and construction practices.</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 at the Engineer’s discretion.</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materials produced will be assigned to a process of each element being tested and evaluated. A change in process is defined as a change that affects the element involved.   A process for any element normally will include all produced materials associated with that element prior to a change in the job mix formula (Form 43) with the exception of the process for joint density element.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2) outside the tolerance limits will be designated as a separate process and the quantity it represents will be evaluated in accordance with subsection 105.05(a).  An element pay factor less than zero shall be zero.  The calculated PF will be used to determine the Incentive/Disincentive Payment (I/DP) for the process in accordance with 105.05(e) Evaluation of Work.</w:t>
      </w:r>
    </w:p>
    <w:p w:rsidR="004D1834" w:rsidRPr="00884DC0" w:rsidRDefault="004D1834">
      <w:pPr>
        <w:widowControl w:val="0"/>
        <w:ind w:left="360"/>
        <w:rPr>
          <w:rFonts w:ascii="Arial" w:hAnsi="Arial" w:cs="Arial"/>
        </w:rPr>
      </w:pPr>
    </w:p>
    <w:p w:rsidR="004D1834" w:rsidRPr="00884DC0" w:rsidRDefault="004D1834">
      <w:pPr>
        <w:widowControl w:val="0"/>
        <w:rPr>
          <w:rFonts w:ascii="Arial" w:hAnsi="Arial" w:cs="Arial"/>
        </w:rPr>
      </w:pPr>
      <w:r w:rsidRPr="00884DC0">
        <w:rPr>
          <w:rFonts w:ascii="Arial" w:hAnsi="Arial" w:cs="Arial"/>
        </w:rPr>
        <w:t xml:space="preserve">Any test result for the air voids or VMA elements greater than the distance 2 </w:t>
      </w:r>
      <w:proofErr w:type="gramStart"/>
      <w:r w:rsidRPr="00884DC0">
        <w:rPr>
          <w:rFonts w:ascii="Arial" w:hAnsi="Arial" w:cs="Arial"/>
        </w:rPr>
        <w:t>x</w:t>
      </w:r>
      <w:proofErr w:type="gramEnd"/>
      <w:r w:rsidRPr="00884DC0">
        <w:rPr>
          <w:rFonts w:ascii="Arial" w:hAnsi="Arial" w:cs="Arial"/>
        </w:rPr>
        <w:t xml:space="preserve"> V (see Table 105-2) outside the tolerance limits will be designated as a separate process and the quantity it represents shall be removed and replaced with specification material at the Contractor’s expense.</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rsidR="004D1834" w:rsidRPr="00884DC0" w:rsidRDefault="004D1834">
      <w:pPr>
        <w:widowControl w:val="0"/>
        <w:jc w:val="both"/>
        <w:rPr>
          <w:rFonts w:ascii="Arial" w:hAnsi="Arial" w:cs="Arial"/>
        </w:rPr>
      </w:pPr>
    </w:p>
    <w:p w:rsidR="004D1834" w:rsidRPr="00884DC0" w:rsidRDefault="004D1834">
      <w:pPr>
        <w:widowControl w:val="0"/>
        <w:ind w:left="720"/>
        <w:rPr>
          <w:rFonts w:ascii="Arial" w:hAnsi="Arial" w:cs="Arial"/>
        </w:rPr>
      </w:pPr>
      <w:r w:rsidRPr="00884DC0">
        <w:rPr>
          <w:rFonts w:ascii="Arial" w:hAnsi="Arial" w:cs="Arial"/>
        </w:rPr>
        <w:t>If the test result is within the tolerance limits then PF = 1.00.  If the test result is above the maximum specified limit, then</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0</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U</w:t>
      </w:r>
      <w:r w:rsidRPr="00884DC0">
        <w:rPr>
          <w:rFonts w:ascii="Arial" w:hAnsi="Arial" w:cs="Arial"/>
        </w:rPr>
        <w:t>)/V]</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0</w:t>
      </w:r>
      <w:r w:rsidRPr="00884DC0">
        <w:rPr>
          <w:rFonts w:ascii="Arial" w:hAnsi="Arial" w:cs="Arial"/>
        </w:rPr>
        <w:t>)/V]</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Where:</w:t>
      </w:r>
      <w:r w:rsidRPr="00884DC0">
        <w:rPr>
          <w:rFonts w:ascii="Arial" w:hAnsi="Arial" w:cs="Arial"/>
        </w:rPr>
        <w:tab/>
        <w:t>PF</w:t>
      </w:r>
      <w:r w:rsidRPr="00884DC0">
        <w:rPr>
          <w:rFonts w:ascii="Arial" w:hAnsi="Arial" w:cs="Arial"/>
        </w:rPr>
        <w:tab/>
        <w:t>=</w:t>
      </w:r>
      <w:r w:rsidRPr="00884DC0">
        <w:rPr>
          <w:rFonts w:ascii="Arial" w:hAnsi="Arial" w:cs="Arial"/>
        </w:rPr>
        <w:tab/>
        <w:t>pay factor.</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0</w:t>
      </w:r>
      <w:r w:rsidRPr="00884DC0">
        <w:rPr>
          <w:rFonts w:ascii="Arial" w:hAnsi="Arial" w:cs="Arial"/>
        </w:rPr>
        <w:tab/>
        <w:t>=</w:t>
      </w:r>
      <w:r w:rsidRPr="00884DC0">
        <w:rPr>
          <w:rFonts w:ascii="Arial" w:hAnsi="Arial" w:cs="Arial"/>
        </w:rPr>
        <w:tab/>
        <w:t>the individual test result.</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U</w:t>
      </w:r>
      <w:r w:rsidRPr="00884DC0">
        <w:rPr>
          <w:rFonts w:ascii="Arial" w:hAnsi="Arial" w:cs="Arial"/>
        </w:rPr>
        <w:tab/>
        <w:t>=</w:t>
      </w:r>
      <w:r w:rsidRPr="00884DC0">
        <w:rPr>
          <w:rFonts w:ascii="Arial" w:hAnsi="Arial" w:cs="Arial"/>
        </w:rPr>
        <w:tab/>
        <w:t>upper specification limit.</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rsidR="004D1834" w:rsidRPr="00884DC0" w:rsidRDefault="004D1834">
      <w:pPr>
        <w:widowControl w:val="0"/>
        <w:rPr>
          <w:rFonts w:ascii="Arial" w:hAnsi="Arial" w:cs="Arial"/>
        </w:rPr>
      </w:pPr>
    </w:p>
    <w:p w:rsidR="004D1834" w:rsidRPr="00884DC0" w:rsidRDefault="004D1834">
      <w:pPr>
        <w:widowControl w:val="0"/>
        <w:ind w:left="720"/>
        <w:rPr>
          <w:rFonts w:ascii="Arial" w:hAnsi="Arial" w:cs="Arial"/>
        </w:rPr>
      </w:pPr>
      <w:r w:rsidRPr="00884DC0">
        <w:rPr>
          <w:rFonts w:ascii="Arial" w:hAnsi="Arial" w:cs="Arial"/>
        </w:rPr>
        <w:t>If the pay factor of any of the above calculations is less than 0.75 for any element, the acceptance of the work will be evaluated according to subsection 105.05(e).</w:t>
      </w:r>
    </w:p>
    <w:p w:rsidR="004D1834" w:rsidRPr="00884DC0" w:rsidRDefault="004D1834">
      <w:pPr>
        <w:widowControl w:val="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(QL) in accordance with Colorado Procedure 71.</w:t>
      </w:r>
    </w:p>
    <w:p w:rsidR="004D1834" w:rsidRPr="00884DC0" w:rsidRDefault="004D1834">
      <w:pPr>
        <w:widowControl w:val="0"/>
        <w:ind w:left="36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rsidR="004D1834" w:rsidRPr="00884DC0" w:rsidRDefault="004D1834">
      <w:pPr>
        <w:widowControl w:val="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QL for the process, compute the PF as follows:  The final number of random samples (Pn) in each process will determine the final pay factor.    As test values are accumulated for each process, Pn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Pn is from 3 to 9, or greater than 200, PF will be computed using the formulas designated in Table 105-3.   Where Pn is equal to or greater than 10 and less than 201, PF will be computed by formula (1):</w:t>
      </w:r>
    </w:p>
    <w:p w:rsidR="004D1834" w:rsidRPr="00884DC0" w:rsidRDefault="004D1834">
      <w:pPr>
        <w:widowControl w:val="0"/>
        <w:ind w:left="433" w:hanging="433"/>
        <w:rPr>
          <w:rFonts w:ascii="Arial" w:hAnsi="Arial" w:cs="Arial"/>
        </w:rPr>
      </w:pP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 xml:space="preserve">1 </w:t>
      </w:r>
      <w:r w:rsidRPr="00884DC0">
        <w:rPr>
          <w:rFonts w:ascii="Arial" w:hAnsi="Arial" w:cs="Arial"/>
        </w:rPr>
        <w:t xml:space="preserve">+ </w:t>
      </w:r>
      <w:proofErr w:type="gramStart"/>
      <w:r w:rsidRPr="00884DC0">
        <w:rPr>
          <w:rFonts w:ascii="Arial" w:hAnsi="Arial" w:cs="Arial"/>
        </w:rPr>
        <w:t>PF</w:t>
      </w:r>
      <w:r w:rsidRPr="00884DC0">
        <w:rPr>
          <w:rFonts w:ascii="Arial" w:hAnsi="Arial" w:cs="Arial"/>
          <w:vertAlign w:val="subscript"/>
        </w:rPr>
        <w:t xml:space="preserve">2 </w:t>
      </w:r>
      <w:r w:rsidRPr="00884DC0">
        <w:rPr>
          <w:rFonts w:ascii="Arial" w:hAnsi="Arial" w:cs="Arial"/>
        </w:rPr>
        <w:t>)</w:t>
      </w:r>
      <w:proofErr w:type="gramEnd"/>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 (</w:t>
      </w:r>
      <w:proofErr w:type="gramStart"/>
      <w:r w:rsidRPr="00884DC0">
        <w:rPr>
          <w:rFonts w:ascii="Arial" w:hAnsi="Arial" w:cs="Arial"/>
        </w:rPr>
        <w:t>PF</w:t>
      </w:r>
      <w:r w:rsidRPr="00884DC0">
        <w:rPr>
          <w:rFonts w:ascii="Arial" w:hAnsi="Arial" w:cs="Arial"/>
          <w:vertAlign w:val="subscript"/>
        </w:rPr>
        <w:t xml:space="preserve">2  </w:t>
      </w:r>
      <w:r w:rsidRPr="00884DC0">
        <w:rPr>
          <w:rFonts w:ascii="Arial" w:hAnsi="Arial" w:cs="Arial"/>
        </w:rPr>
        <w:t>+</w:t>
      </w:r>
      <w:proofErr w:type="gramEnd"/>
      <w:r w:rsidRPr="00884DC0">
        <w:rPr>
          <w:rFonts w:ascii="Arial" w:hAnsi="Arial" w:cs="Arial"/>
        </w:rPr>
        <w:t xml:space="preserve"> PF</w:t>
      </w:r>
      <w:r w:rsidRPr="00884DC0">
        <w:rPr>
          <w:rFonts w:ascii="Arial" w:hAnsi="Arial" w:cs="Arial"/>
          <w:vertAlign w:val="subscript"/>
        </w:rPr>
        <w:t>3</w:t>
      </w:r>
      <w:r w:rsidRPr="00884DC0">
        <w:rPr>
          <w:rFonts w:ascii="Arial" w:hAnsi="Arial" w:cs="Arial"/>
        </w:rPr>
        <w:t xml:space="preserve"> )</w:t>
      </w:r>
      <w:r w:rsidRPr="00884DC0">
        <w:rPr>
          <w:rFonts w:ascii="Arial" w:hAnsi="Arial" w:cs="Arial"/>
        </w:rPr>
        <w:tab/>
      </w:r>
      <w:r w:rsidRPr="00884DC0">
        <w:rPr>
          <w:rFonts w:ascii="Arial" w:hAnsi="Arial" w:cs="Arial"/>
        </w:rPr>
        <w:tab/>
        <w:t>(PF</w:t>
      </w:r>
      <w:r w:rsidRPr="00884DC0">
        <w:rPr>
          <w:rFonts w:ascii="Arial" w:hAnsi="Arial" w:cs="Arial"/>
          <w:vertAlign w:val="subscript"/>
        </w:rPr>
        <w:t xml:space="preserve">1 </w:t>
      </w:r>
      <w:r w:rsidRPr="00884DC0">
        <w:rPr>
          <w:rFonts w:ascii="Arial" w:hAnsi="Arial" w:cs="Arial"/>
        </w:rPr>
        <w:t>+ PF</w:t>
      </w:r>
      <w:r w:rsidRPr="00884DC0">
        <w:rPr>
          <w:rFonts w:ascii="Arial" w:hAnsi="Arial" w:cs="Arial"/>
          <w:vertAlign w:val="subscript"/>
        </w:rPr>
        <w:t xml:space="preserve">2 </w:t>
      </w:r>
      <w:r w:rsidRPr="00884DC0">
        <w:rPr>
          <w:rFonts w:ascii="Arial" w:hAnsi="Arial" w:cs="Arial"/>
        </w:rPr>
        <w:t>)</w:t>
      </w:r>
      <w:r w:rsidRPr="00884DC0">
        <w:rPr>
          <w:rFonts w:ascii="Arial" w:hAnsi="Arial" w:cs="Arial"/>
        </w:rPr>
        <w:tab/>
      </w:r>
      <w:r w:rsidRPr="00884DC0">
        <w:rPr>
          <w:rFonts w:ascii="Arial" w:hAnsi="Arial" w:cs="Arial"/>
        </w:rPr>
        <w:t></w:t>
      </w:r>
      <w:r w:rsidRPr="00884DC0">
        <w:rPr>
          <w:rFonts w:ascii="Arial" w:hAnsi="Arial" w:cs="Arial"/>
        </w:rPr>
        <w:tab/>
        <w:t>(Pn</w:t>
      </w:r>
      <w:r w:rsidRPr="00884DC0">
        <w:rPr>
          <w:rFonts w:ascii="Arial" w:hAnsi="Arial" w:cs="Arial"/>
          <w:vertAlign w:val="subscript"/>
        </w:rPr>
        <w:t>2</w:t>
      </w:r>
      <w:r w:rsidRPr="00884DC0">
        <w:rPr>
          <w:rFonts w:ascii="Arial" w:hAnsi="Arial" w:cs="Arial"/>
        </w:rPr>
        <w:t xml:space="preserve"> - </w:t>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rPr>
        <w:t xml:space="preserve"> )</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t>(1)</w:t>
      </w:r>
      <w:r w:rsidRPr="00884DC0">
        <w:rPr>
          <w:rFonts w:ascii="Arial" w:hAnsi="Arial" w:cs="Arial"/>
        </w:rPr>
        <w:tab/>
        <w:t>PF</w:t>
      </w:r>
      <w:r w:rsidRPr="00884DC0">
        <w:rPr>
          <w:rFonts w:ascii="Arial" w:hAnsi="Arial" w:cs="Arial"/>
        </w:rPr>
        <w:tab/>
        <w:t>=</w:t>
      </w:r>
      <w:r w:rsidRPr="00884DC0">
        <w:rPr>
          <w:rFonts w:ascii="Arial" w:hAnsi="Arial" w:cs="Arial"/>
        </w:rPr>
        <w:tab/>
        <w:t xml:space="preserve">—————  </w:t>
      </w:r>
      <w:r w:rsidRPr="00884DC0">
        <w:rPr>
          <w:rFonts w:ascii="Arial" w:hAnsi="Arial" w:cs="Arial"/>
        </w:rPr>
        <w:tab/>
        <w:t>+</w:t>
      </w:r>
      <w:r w:rsidRPr="00884DC0">
        <w:rPr>
          <w:rFonts w:ascii="Arial" w:hAnsi="Arial" w:cs="Arial"/>
        </w:rPr>
        <w:tab/>
      </w:r>
      <w:r w:rsidRPr="00884DC0">
        <w:rPr>
          <w:rFonts w:ascii="Arial" w:hAnsi="Arial" w:cs="Arial"/>
        </w:rPr>
        <w:t> —————</w:t>
      </w:r>
      <w:r w:rsidRPr="00884DC0">
        <w:rPr>
          <w:rFonts w:ascii="Arial" w:hAnsi="Arial" w:cs="Arial"/>
        </w:rPr>
        <w:tab/>
        <w:t xml:space="preserve">   </w:t>
      </w:r>
      <w:r w:rsidRPr="00884DC0">
        <w:rPr>
          <w:rFonts w:ascii="Arial" w:hAnsi="Arial" w:cs="Arial"/>
        </w:rPr>
        <w:t>   —————</w:t>
      </w:r>
      <w:proofErr w:type="gramStart"/>
      <w:r w:rsidRPr="00884DC0">
        <w:rPr>
          <w:rFonts w:ascii="Arial" w:hAnsi="Arial" w:cs="Arial"/>
        </w:rPr>
        <w:t xml:space="preserve">  </w:t>
      </w:r>
      <w:r w:rsidRPr="00884DC0">
        <w:rPr>
          <w:rFonts w:ascii="Arial" w:hAnsi="Arial" w:cs="Arial"/>
        </w:rPr>
        <w:t></w:t>
      </w:r>
      <w:proofErr w:type="gramEnd"/>
      <w:r w:rsidRPr="00884DC0">
        <w:rPr>
          <w:rFonts w:ascii="Arial" w:hAnsi="Arial" w:cs="Arial"/>
        </w:rPr>
        <w:tab/>
        <w:t>—————</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w:t>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w:t>
      </w:r>
      <w:r w:rsidRPr="00884DC0">
        <w:rPr>
          <w:rFonts w:ascii="Arial" w:hAnsi="Arial" w:cs="Arial"/>
        </w:rPr>
        <w:tab/>
        <w:t>(Pn</w:t>
      </w:r>
      <w:r w:rsidRPr="00884DC0">
        <w:rPr>
          <w:rFonts w:ascii="Arial" w:hAnsi="Arial" w:cs="Arial"/>
          <w:vertAlign w:val="subscript"/>
        </w:rPr>
        <w:t>2</w:t>
      </w:r>
      <w:r w:rsidRPr="00884DC0">
        <w:rPr>
          <w:rFonts w:ascii="Arial" w:hAnsi="Arial" w:cs="Arial"/>
        </w:rPr>
        <w:t xml:space="preserve"> – Pn</w:t>
      </w:r>
      <w:r w:rsidRPr="00884DC0">
        <w:rPr>
          <w:rFonts w:ascii="Arial" w:hAnsi="Arial" w:cs="Arial"/>
          <w:vertAlign w:val="subscript"/>
        </w:rPr>
        <w:t>3</w:t>
      </w:r>
      <w:r w:rsidRPr="00884DC0">
        <w:rPr>
          <w:rFonts w:ascii="Arial" w:hAnsi="Arial" w:cs="Arial"/>
        </w:rPr>
        <w:t>)</w:t>
      </w:r>
    </w:p>
    <w:p w:rsidR="004D1834" w:rsidRPr="00884DC0" w:rsidRDefault="004D1834">
      <w:pPr>
        <w:widowControl w:val="0"/>
        <w:rPr>
          <w:rFonts w:ascii="Arial" w:hAnsi="Arial" w:cs="Arial"/>
        </w:rPr>
      </w:pP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t>Where, when referring to Table 105-3:</w:t>
      </w:r>
    </w:p>
    <w:p w:rsidR="004D1834" w:rsidRPr="00884DC0" w:rsidRDefault="004D1834">
      <w:pPr>
        <w:widowControl w:val="0"/>
        <w:ind w:left="720" w:firstLine="360"/>
        <w:rPr>
          <w:rFonts w:ascii="Arial" w:hAnsi="Arial" w:cs="Arial"/>
        </w:rPr>
      </w:pPr>
      <w:r w:rsidRPr="00884DC0">
        <w:rPr>
          <w:rFonts w:ascii="Arial" w:hAnsi="Arial" w:cs="Arial"/>
        </w:rPr>
        <w:t>PF</w:t>
      </w:r>
      <w:r w:rsidRPr="00884DC0">
        <w:rPr>
          <w:rFonts w:ascii="Arial" w:hAnsi="Arial" w:cs="Arial"/>
          <w:vertAlign w:val="subscript"/>
        </w:rPr>
        <w:t>1</w:t>
      </w:r>
      <w:r w:rsidRPr="00884DC0">
        <w:rPr>
          <w:rFonts w:ascii="Arial" w:hAnsi="Arial" w:cs="Arial"/>
        </w:rPr>
        <w:t>=</w:t>
      </w:r>
      <w:r w:rsidRPr="00884DC0">
        <w:rPr>
          <w:rFonts w:ascii="Arial" w:hAnsi="Arial" w:cs="Arial"/>
        </w:rPr>
        <w:tab/>
        <w:t xml:space="preserve">PF determined at the next lowest Pn formula using process QL </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2</w:t>
      </w:r>
      <w:r w:rsidRPr="00884DC0">
        <w:rPr>
          <w:rFonts w:ascii="Arial" w:hAnsi="Arial" w:cs="Arial"/>
          <w:vertAlign w:val="subscript"/>
        </w:rPr>
        <w:tab/>
      </w:r>
      <w:r w:rsidRPr="00884DC0">
        <w:rPr>
          <w:rFonts w:ascii="Arial" w:hAnsi="Arial" w:cs="Arial"/>
        </w:rPr>
        <w:t>=</w:t>
      </w:r>
      <w:r w:rsidRPr="00884DC0">
        <w:rPr>
          <w:rFonts w:ascii="Arial" w:hAnsi="Arial" w:cs="Arial"/>
        </w:rPr>
        <w:tab/>
        <w:t>PF determined using the Pn formula shown for the process QL</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PF determined at the next highest Pn formula using process QL </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2</w:t>
      </w:r>
      <w:r w:rsidRPr="00884DC0">
        <w:rPr>
          <w:rFonts w:ascii="Arial" w:hAnsi="Arial" w:cs="Arial"/>
        </w:rPr>
        <w:t>=</w:t>
      </w:r>
      <w:r w:rsidRPr="00884DC0">
        <w:rPr>
          <w:rFonts w:ascii="Arial" w:hAnsi="Arial" w:cs="Arial"/>
        </w:rPr>
        <w:tab/>
        <w:t>the lowest Pn in the spread of values listed for the process Pn formula</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the lowest Pn in the spread of values listed for the next highest Pn formula </w:t>
      </w:r>
    </w:p>
    <w:p w:rsidR="004D1834" w:rsidRPr="00884DC0" w:rsidRDefault="004D1834">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rsidR="004D1834" w:rsidRPr="00884DC0" w:rsidRDefault="004D1834">
      <w:pPr>
        <w:widowControl w:val="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When evaluating the item of Furnish Hot mix asphalt, the PF for the element of In-Place Density shall be 1.0.</w:t>
      </w:r>
    </w:p>
    <w:p w:rsidR="004D1834" w:rsidRPr="00884DC0" w:rsidRDefault="004D1834">
      <w:pPr>
        <w:pStyle w:val="Header"/>
        <w:widowControl w:val="0"/>
        <w:tabs>
          <w:tab w:val="clear" w:pos="4320"/>
          <w:tab w:val="clear" w:pos="8640"/>
        </w:tabs>
        <w:rPr>
          <w:rFonts w:ascii="Arial" w:hAnsi="Arial" w:cs="Arial"/>
        </w:rPr>
      </w:pPr>
    </w:p>
    <w:p w:rsidR="004D1834" w:rsidRPr="00884DC0" w:rsidRDefault="004D1834">
      <w:pPr>
        <w:ind w:left="360"/>
        <w:jc w:val="both"/>
        <w:rPr>
          <w:rFonts w:ascii="Arial" w:hAnsi="Arial" w:cs="Arial"/>
        </w:rPr>
      </w:pPr>
      <w:r w:rsidRPr="00884DC0">
        <w:rPr>
          <w:rFonts w:ascii="Arial" w:hAnsi="Arial" w:cs="Arial"/>
        </w:rPr>
        <w:t>Regardless of QL, the maximum PF in relation to Pn is limited in accordance with Table 105-3.</w:t>
      </w:r>
    </w:p>
    <w:p w:rsidR="004D1834" w:rsidRPr="00884DC0" w:rsidRDefault="004D1834">
      <w:pPr>
        <w:widowControl w:val="0"/>
        <w:ind w:left="36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rsidR="004D1834" w:rsidRPr="00884DC0" w:rsidRDefault="004D1834">
      <w:pPr>
        <w:widowControl w:val="0"/>
        <w:rPr>
          <w:rFonts w:ascii="Arial" w:hAnsi="Arial" w:cs="Arial"/>
        </w:rPr>
      </w:pPr>
    </w:p>
    <w:p w:rsidR="004D1834" w:rsidRPr="00884DC0" w:rsidRDefault="004D1834">
      <w:pPr>
        <w:widowControl w:val="0"/>
        <w:ind w:left="360"/>
        <w:rPr>
          <w:rFonts w:ascii="Arial" w:hAnsi="Arial" w:cs="Arial"/>
        </w:rPr>
      </w:pPr>
    </w:p>
    <w:p w:rsidR="004D1834" w:rsidRPr="00884DC0" w:rsidRDefault="004D1834">
      <w:pPr>
        <w:widowControl w:val="0"/>
        <w:ind w:left="36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rsidR="004D1834" w:rsidRPr="00884DC0" w:rsidRDefault="004D1834">
      <w:pPr>
        <w:widowControl w:val="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bCs/>
          <w:i/>
          <w:iCs/>
        </w:rPr>
        <w:t>Evaluation of Work.</w:t>
      </w:r>
      <w:r w:rsidRPr="00884DC0">
        <w:rPr>
          <w:rFonts w:ascii="Arial" w:hAnsi="Arial" w:cs="Arial"/>
        </w:rPr>
        <w:t xml:space="preserve">  When the PF </w:t>
      </w:r>
      <w:proofErr w:type="gramStart"/>
      <w:r w:rsidRPr="00884DC0">
        <w:rPr>
          <w:rFonts w:ascii="Arial" w:hAnsi="Arial" w:cs="Arial"/>
        </w:rPr>
        <w:t>of  a</w:t>
      </w:r>
      <w:proofErr w:type="gramEnd"/>
      <w:r w:rsidRPr="00884DC0">
        <w:rPr>
          <w:rFonts w:ascii="Arial" w:hAnsi="Arial" w:cs="Arial"/>
        </w:rPr>
        <w:t xml:space="preserve"> process is 0.75 or greater, the finished quantity of work represented by the process will be accepted at the appropriate pay factor.  If the PF</w:t>
      </w:r>
      <w:r w:rsidRPr="00884DC0">
        <w:rPr>
          <w:rFonts w:ascii="Arial" w:hAnsi="Arial" w:cs="Arial"/>
          <w:vertAlign w:val="subscript"/>
        </w:rPr>
        <w:t xml:space="preserve"> </w:t>
      </w:r>
      <w:r w:rsidRPr="00884DC0">
        <w:rPr>
          <w:rFonts w:ascii="Arial" w:hAnsi="Arial" w:cs="Arial"/>
        </w:rPr>
        <w:t xml:space="preserve">for the air voids or VMA elements within </w:t>
      </w:r>
      <w:r w:rsidRPr="00884DC0">
        <w:rPr>
          <w:rFonts w:ascii="Arial" w:hAnsi="Arial" w:cs="Arial"/>
          <w:i/>
          <w:iCs/>
        </w:rPr>
        <w:t>any</w:t>
      </w:r>
      <w:r w:rsidRPr="00884DC0">
        <w:rPr>
          <w:rFonts w:ascii="Arial" w:hAnsi="Arial" w:cs="Arial"/>
        </w:rPr>
        <w:t xml:space="preserve"> process is less than 0.75, the Contractor shall remove and replace the material with specification material </w:t>
      </w:r>
      <w:proofErr w:type="gramStart"/>
      <w:r w:rsidRPr="00884DC0">
        <w:rPr>
          <w:rFonts w:ascii="Arial" w:hAnsi="Arial" w:cs="Arial"/>
        </w:rPr>
        <w:t>at  the</w:t>
      </w:r>
      <w:proofErr w:type="gramEnd"/>
      <w:r w:rsidRPr="00884DC0">
        <w:rPr>
          <w:rFonts w:ascii="Arial" w:hAnsi="Arial" w:cs="Arial"/>
        </w:rPr>
        <w:t xml:space="preserve"> Contractor’s expense.  If PF for any other element within any process is less than 0.75, the Engineer may:</w:t>
      </w:r>
    </w:p>
    <w:p w:rsidR="004D1834" w:rsidRPr="00884DC0" w:rsidRDefault="004D1834">
      <w:pPr>
        <w:widowControl w:val="0"/>
        <w:ind w:left="360"/>
        <w:rPr>
          <w:rFonts w:ascii="Arial" w:hAnsi="Arial" w:cs="Arial"/>
          <w:b/>
        </w:rPr>
      </w:pPr>
    </w:p>
    <w:p w:rsidR="00522DB7" w:rsidRPr="00884DC0" w:rsidRDefault="004D1834" w:rsidP="004D1834">
      <w:pPr>
        <w:widowControl w:val="0"/>
        <w:numPr>
          <w:ilvl w:val="1"/>
          <w:numId w:val="13"/>
        </w:numPr>
        <w:tabs>
          <w:tab w:val="left" w:pos="720"/>
        </w:tabs>
        <w:suppressAutoHyphens/>
        <w:ind w:left="720"/>
        <w:rPr>
          <w:rFonts w:ascii="Arial" w:hAnsi="Arial" w:cs="Arial"/>
        </w:rPr>
      </w:pPr>
      <w:r w:rsidRPr="00884DC0">
        <w:rPr>
          <w:rFonts w:ascii="Arial" w:hAnsi="Arial" w:cs="Arial"/>
        </w:rPr>
        <w:t>Require complete removal and replacement with specification material at  the Contractor’s expense,</w:t>
      </w:r>
    </w:p>
    <w:p w:rsidR="00522DB7" w:rsidRPr="00884DC0" w:rsidRDefault="00522DB7" w:rsidP="00522DB7">
      <w:pPr>
        <w:widowControl w:val="0"/>
        <w:suppressAutoHyphens/>
        <w:ind w:left="360"/>
        <w:rPr>
          <w:rFonts w:ascii="Arial" w:hAnsi="Arial" w:cs="Arial"/>
        </w:rPr>
      </w:pPr>
    </w:p>
    <w:p w:rsidR="004D1834" w:rsidRPr="00884DC0" w:rsidRDefault="00522DB7" w:rsidP="00522DB7">
      <w:pPr>
        <w:widowControl w:val="0"/>
        <w:suppressAutoHyphens/>
        <w:ind w:left="360"/>
        <w:jc w:val="center"/>
        <w:rPr>
          <w:rFonts w:ascii="Arial" w:hAnsi="Arial" w:cs="Arial"/>
        </w:rPr>
      </w:pPr>
      <w:proofErr w:type="gramStart"/>
      <w:r w:rsidRPr="00884DC0">
        <w:rPr>
          <w:rFonts w:ascii="Arial" w:hAnsi="Arial" w:cs="Arial"/>
        </w:rPr>
        <w:t>or</w:t>
      </w:r>
      <w:proofErr w:type="gramEnd"/>
    </w:p>
    <w:p w:rsidR="004D1834" w:rsidRPr="00884DC0" w:rsidRDefault="004D1834">
      <w:pPr>
        <w:pStyle w:val="Header"/>
        <w:widowControl w:val="0"/>
        <w:tabs>
          <w:tab w:val="clear" w:pos="4320"/>
          <w:tab w:val="clear" w:pos="8640"/>
        </w:tabs>
        <w:rPr>
          <w:rFonts w:ascii="Arial" w:hAnsi="Arial" w:cs="Arial"/>
        </w:rPr>
      </w:pPr>
    </w:p>
    <w:p w:rsidR="004D1834" w:rsidRPr="00884DC0" w:rsidRDefault="004D1834" w:rsidP="004D1834">
      <w:pPr>
        <w:widowControl w:val="0"/>
        <w:numPr>
          <w:ilvl w:val="1"/>
          <w:numId w:val="13"/>
        </w:numPr>
        <w:tabs>
          <w:tab w:val="left" w:pos="720"/>
        </w:tabs>
        <w:suppressAutoHyphens/>
        <w:ind w:left="720"/>
        <w:rPr>
          <w:rFonts w:ascii="Arial" w:hAnsi="Arial" w:cs="Arial"/>
        </w:rPr>
      </w:pPr>
      <w:r w:rsidRPr="00884DC0">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(RME) will be consulted prior to determining the material will be allowed to remain in place.  The RME will also be consulted to assist in determining an appropriate pay factor.</w:t>
      </w:r>
    </w:p>
    <w:p w:rsidR="004D1834" w:rsidRPr="00884DC0" w:rsidRDefault="004D1834">
      <w:pPr>
        <w:widowControl w:val="0"/>
        <w:rPr>
          <w:rFonts w:ascii="Arial" w:hAnsi="Arial" w:cs="Arial"/>
        </w:rPr>
      </w:pPr>
    </w:p>
    <w:p w:rsidR="004D1834" w:rsidRPr="00884DC0" w:rsidRDefault="004D1834" w:rsidP="004D1834">
      <w:pPr>
        <w:widowControl w:val="0"/>
        <w:ind w:left="360"/>
        <w:rPr>
          <w:rFonts w:ascii="Arial" w:hAnsi="Arial" w:cs="Arial"/>
        </w:rPr>
      </w:pPr>
      <w:r w:rsidRPr="00884DC0">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rsidR="004D1834" w:rsidRPr="00884DC0" w:rsidRDefault="004D1834">
      <w:pPr>
        <w:widowControl w:val="0"/>
        <w:ind w:left="720"/>
        <w:rPr>
          <w:rFonts w:ascii="Arial" w:hAnsi="Arial" w:cs="Arial"/>
        </w:rPr>
      </w:pPr>
    </w:p>
    <w:p w:rsidR="004D1834" w:rsidRPr="00884DC0" w:rsidRDefault="004D1834" w:rsidP="004D1834">
      <w:pPr>
        <w:widowControl w:val="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2V outside the tolerance limits, the removal and replacement limits shall be identified by coring the failing joint </w:t>
      </w:r>
      <w:proofErr w:type="gramStart"/>
      <w:r w:rsidRPr="00884DC0">
        <w:rPr>
          <w:rFonts w:ascii="Arial" w:hAnsi="Arial" w:cs="Arial"/>
        </w:rPr>
        <w:t>at  25</w:t>
      </w:r>
      <w:proofErr w:type="gramEnd"/>
      <w:r w:rsidRPr="00884DC0">
        <w:rPr>
          <w:rFonts w:ascii="Arial" w:hAnsi="Arial" w:cs="Arial"/>
        </w:rPr>
        <w:t xml:space="preserve"> foot intervals until two successive cores are found to be 1V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t>
      </w:r>
      <w:r w:rsidR="00522DB7" w:rsidRPr="00884DC0">
        <w:rPr>
          <w:rFonts w:ascii="Arial" w:hAnsi="Arial" w:cs="Arial"/>
        </w:rPr>
        <w:t>will</w:t>
      </w:r>
      <w:r w:rsidRPr="00884DC0">
        <w:rPr>
          <w:rFonts w:ascii="Arial" w:hAnsi="Arial" w:cs="Arial"/>
        </w:rPr>
        <w:t xml:space="preserve"> be approved by the Engineer</w:t>
      </w:r>
      <w:r w:rsidR="00522DB7" w:rsidRPr="00884DC0">
        <w:rPr>
          <w:rFonts w:ascii="Arial" w:hAnsi="Arial" w:cs="Arial"/>
        </w:rPr>
        <w:t xml:space="preserve"> </w:t>
      </w:r>
      <w:r w:rsidRPr="00884DC0">
        <w:rPr>
          <w:rFonts w:ascii="Arial" w:hAnsi="Arial" w:cs="Arial"/>
        </w:rPr>
        <w:t>before commencing the corrective work</w:t>
      </w:r>
    </w:p>
    <w:p w:rsidR="004D1834" w:rsidRPr="00884DC0" w:rsidRDefault="004D1834">
      <w:pPr>
        <w:widowControl w:val="0"/>
        <w:ind w:left="720"/>
        <w:rPr>
          <w:rFonts w:ascii="Arial" w:hAnsi="Arial" w:cs="Arial"/>
        </w:rPr>
      </w:pPr>
    </w:p>
    <w:p w:rsidR="004D1834" w:rsidRPr="00884DC0" w:rsidRDefault="004D1834">
      <w:pPr>
        <w:widowControl w:val="0"/>
        <w:ind w:left="720"/>
        <w:rPr>
          <w:rFonts w:ascii="Arial" w:hAnsi="Arial" w:cs="Arial"/>
        </w:rPr>
      </w:pPr>
    </w:p>
    <w:p w:rsidR="004D1834" w:rsidRPr="00884DC0" w:rsidRDefault="004D1834">
      <w:pPr>
        <w:widowControl w:val="0"/>
        <w:ind w:left="720"/>
        <w:rPr>
          <w:rFonts w:ascii="Arial" w:hAnsi="Arial" w:cs="Arial"/>
        </w:rPr>
      </w:pPr>
    </w:p>
    <w:p w:rsidR="004D1834" w:rsidRPr="00884DC0" w:rsidRDefault="004D1834">
      <w:pPr>
        <w:widowControl w:val="0"/>
        <w:jc w:val="center"/>
        <w:rPr>
          <w:rFonts w:ascii="Arial" w:hAnsi="Arial" w:cs="Arial"/>
          <w:b/>
        </w:rPr>
      </w:pPr>
      <w:r w:rsidRPr="00884DC0">
        <w:rPr>
          <w:rFonts w:ascii="Arial" w:hAnsi="Arial" w:cs="Arial"/>
          <w:b/>
        </w:rPr>
        <w:t>Table 105</w:t>
      </w:r>
      <w:r w:rsidRPr="00884DC0">
        <w:rPr>
          <w:rFonts w:ascii="Arial" w:hAnsi="Arial" w:cs="Arial"/>
          <w:b/>
        </w:rPr>
        <w:noBreakHyphen/>
        <w:t>2</w:t>
      </w:r>
    </w:p>
    <w:p w:rsidR="004D1834" w:rsidRPr="00884DC0" w:rsidRDefault="004D1834">
      <w:pPr>
        <w:widowControl w:val="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1834" w:rsidRPr="00884DC0">
        <w:trPr>
          <w:trHeight w:val="360"/>
          <w:jc w:val="center"/>
        </w:trPr>
        <w:tc>
          <w:tcPr>
            <w:tcW w:w="3135" w:type="dxa"/>
            <w:tcBorders>
              <w:top w:val="double" w:sz="1" w:space="0" w:color="000000"/>
              <w:left w:val="double" w:sz="1" w:space="0" w:color="000000"/>
              <w:bottom w:val="single" w:sz="4"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Element</w:t>
            </w:r>
          </w:p>
        </w:tc>
        <w:tc>
          <w:tcPr>
            <w:tcW w:w="1530" w:type="dxa"/>
            <w:tcBorders>
              <w:top w:val="double" w:sz="1" w:space="0" w:color="000000"/>
              <w:left w:val="single" w:sz="4" w:space="0" w:color="000000"/>
              <w:bottom w:val="single" w:sz="4"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V Factor</w:t>
            </w:r>
          </w:p>
        </w:tc>
        <w:tc>
          <w:tcPr>
            <w:tcW w:w="1830" w:type="dxa"/>
            <w:tcBorders>
              <w:top w:val="double" w:sz="1" w:space="0" w:color="000000"/>
              <w:left w:val="single" w:sz="4" w:space="0" w:color="000000"/>
              <w:bottom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W Factor</w:t>
            </w:r>
          </w:p>
        </w:tc>
      </w:tr>
      <w:tr w:rsidR="004D1834" w:rsidRPr="00884DC0">
        <w:trPr>
          <w:trHeight w:val="360"/>
          <w:jc w:val="center"/>
        </w:trPr>
        <w:tc>
          <w:tcPr>
            <w:tcW w:w="3135" w:type="dxa"/>
            <w:tcBorders>
              <w:top w:val="single" w:sz="4" w:space="0" w:color="000000"/>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Asphalt Content</w:t>
            </w:r>
          </w:p>
        </w:tc>
        <w:tc>
          <w:tcPr>
            <w:tcW w:w="1530" w:type="dxa"/>
            <w:tcBorders>
              <w:top w:val="single" w:sz="4" w:space="0" w:color="000000"/>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0.20</w:t>
            </w:r>
          </w:p>
        </w:tc>
        <w:tc>
          <w:tcPr>
            <w:tcW w:w="1830" w:type="dxa"/>
            <w:tcBorders>
              <w:top w:val="single" w:sz="4" w:space="0" w:color="000000"/>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10</w:t>
            </w:r>
          </w:p>
        </w:tc>
      </w:tr>
      <w:tr w:rsidR="004D1834" w:rsidRPr="00884DC0">
        <w:trPr>
          <w:trHeight w:val="360"/>
          <w:jc w:val="center"/>
        </w:trPr>
        <w:tc>
          <w:tcPr>
            <w:tcW w:w="3135" w:type="dxa"/>
            <w:tcBorders>
              <w:lef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Voids in the Mineral Aggregate</w:t>
            </w:r>
          </w:p>
        </w:tc>
        <w:tc>
          <w:tcPr>
            <w:tcW w:w="153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10</w:t>
            </w:r>
          </w:p>
        </w:tc>
      </w:tr>
      <w:tr w:rsidR="004D1834" w:rsidRPr="00884DC0">
        <w:trPr>
          <w:trHeight w:val="360"/>
          <w:jc w:val="center"/>
        </w:trPr>
        <w:tc>
          <w:tcPr>
            <w:tcW w:w="3135"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Air Voids</w:t>
            </w:r>
          </w:p>
        </w:tc>
        <w:tc>
          <w:tcPr>
            <w:tcW w:w="153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 xml:space="preserve"> 30</w:t>
            </w:r>
          </w:p>
        </w:tc>
      </w:tr>
      <w:tr w:rsidR="004D1834" w:rsidRPr="00884DC0">
        <w:trPr>
          <w:cantSplit/>
          <w:trHeight w:val="342"/>
          <w:jc w:val="center"/>
        </w:trPr>
        <w:tc>
          <w:tcPr>
            <w:tcW w:w="3135" w:type="dxa"/>
            <w:tcBorders>
              <w:lef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In-place Density</w:t>
            </w:r>
          </w:p>
        </w:tc>
        <w:tc>
          <w:tcPr>
            <w:tcW w:w="153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w:t>
            </w:r>
          </w:p>
        </w:tc>
        <w:tc>
          <w:tcPr>
            <w:tcW w:w="1830"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 xml:space="preserve"> 35</w:t>
            </w:r>
          </w:p>
        </w:tc>
      </w:tr>
      <w:tr w:rsidR="004D1834" w:rsidRPr="00884DC0">
        <w:trPr>
          <w:cantSplit/>
          <w:trHeight w:val="342"/>
          <w:jc w:val="center"/>
        </w:trPr>
        <w:tc>
          <w:tcPr>
            <w:tcW w:w="3135" w:type="dxa"/>
            <w:tcBorders>
              <w:left w:val="double" w:sz="1" w:space="0" w:color="000000"/>
              <w:bottom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Joint Density</w:t>
            </w:r>
          </w:p>
        </w:tc>
        <w:tc>
          <w:tcPr>
            <w:tcW w:w="1530" w:type="dxa"/>
            <w:tcBorders>
              <w:left w:val="single" w:sz="4" w:space="0" w:color="000000"/>
              <w:bottom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1.60</w:t>
            </w:r>
          </w:p>
        </w:tc>
        <w:tc>
          <w:tcPr>
            <w:tcW w:w="1830" w:type="dxa"/>
            <w:tcBorders>
              <w:left w:val="single" w:sz="4" w:space="0" w:color="000000"/>
              <w:bottom w:val="double" w:sz="1"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15</w:t>
            </w:r>
          </w:p>
        </w:tc>
      </w:tr>
    </w:tbl>
    <w:p w:rsidR="004D1834" w:rsidRPr="00884DC0" w:rsidRDefault="004D1834">
      <w:pPr>
        <w:widowControl w:val="0"/>
        <w:rPr>
          <w:rFonts w:ascii="Arial" w:hAnsi="Arial" w:cs="Arial"/>
        </w:rPr>
      </w:pPr>
    </w:p>
    <w:p w:rsidR="004D1834" w:rsidRPr="00884DC0" w:rsidRDefault="004D1834" w:rsidP="004D1834">
      <w:pPr>
        <w:pStyle w:val="Heading2"/>
        <w:pageBreakBefore/>
        <w:widowControl w:val="0"/>
        <w:numPr>
          <w:ilvl w:val="1"/>
          <w:numId w:val="10"/>
        </w:numPr>
        <w:tabs>
          <w:tab w:val="left" w:pos="0"/>
        </w:tabs>
        <w:suppressAutoHyphens/>
        <w:rPr>
          <w:rFonts w:cs="Arial"/>
        </w:rPr>
      </w:pPr>
    </w:p>
    <w:p w:rsidR="004D1834" w:rsidRPr="00884DC0" w:rsidRDefault="00884DC0" w:rsidP="004D1834">
      <w:pPr>
        <w:pStyle w:val="Heading2"/>
        <w:widowControl w:val="0"/>
        <w:numPr>
          <w:ilvl w:val="1"/>
          <w:numId w:val="10"/>
        </w:numPr>
        <w:tabs>
          <w:tab w:val="left" w:pos="0"/>
        </w:tabs>
        <w:suppressAutoHyphens/>
        <w:rPr>
          <w:rFonts w:cs="Arial"/>
          <w:color w:val="000000"/>
        </w:rPr>
      </w:pPr>
      <w:r w:rsidRPr="00884DC0">
        <w:rPr>
          <w:rFonts w:cs="Arial"/>
          <w:color w:val="000000"/>
        </w:rPr>
        <w:t>Ta</w:t>
      </w:r>
      <w:r>
        <w:rPr>
          <w:rFonts w:cs="Arial"/>
          <w:color w:val="000000"/>
        </w:rPr>
        <w:t xml:space="preserve">ble </w:t>
      </w:r>
      <w:r w:rsidR="004D1834" w:rsidRPr="00884DC0">
        <w:rPr>
          <w:rFonts w:cs="Arial"/>
          <w:color w:val="000000"/>
        </w:rPr>
        <w:t>105-3</w:t>
      </w:r>
    </w:p>
    <w:p w:rsidR="004D1834" w:rsidRPr="00884DC0" w:rsidRDefault="004D1834">
      <w:pPr>
        <w:widowControl w:val="0"/>
        <w:jc w:val="center"/>
        <w:rPr>
          <w:rFonts w:ascii="Arial" w:hAnsi="Arial" w:cs="Arial"/>
          <w:b/>
          <w:caps/>
        </w:rPr>
      </w:pPr>
      <w:r w:rsidRPr="00884DC0">
        <w:rPr>
          <w:rFonts w:ascii="Arial" w:hAnsi="Arial" w:cs="Arial"/>
          <w:b/>
          <w:caps/>
        </w:rPr>
        <w:t>Formulas For Calculating PF Based on Pn</w:t>
      </w:r>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1834" w:rsidRPr="00884DC0">
        <w:trPr>
          <w:trHeight w:val="360"/>
          <w:jc w:val="center"/>
        </w:trPr>
        <w:tc>
          <w:tcPr>
            <w:tcW w:w="1601" w:type="dxa"/>
            <w:tcBorders>
              <w:top w:val="double" w:sz="1" w:space="0" w:color="000000"/>
              <w:left w:val="double" w:sz="1" w:space="0" w:color="000000"/>
              <w:bottom w:val="single" w:sz="4" w:space="0" w:color="000000"/>
            </w:tcBorders>
            <w:vAlign w:val="center"/>
          </w:tcPr>
          <w:p w:rsidR="004D1834" w:rsidRPr="00884DC0" w:rsidRDefault="004D1834">
            <w:pPr>
              <w:widowControl w:val="0"/>
              <w:snapToGrid w:val="0"/>
              <w:jc w:val="center"/>
              <w:rPr>
                <w:rFonts w:ascii="Arial" w:hAnsi="Arial" w:cs="Arial"/>
                <w:b/>
                <w:sz w:val="18"/>
                <w:szCs w:val="18"/>
              </w:rPr>
            </w:pPr>
            <w:r w:rsidRPr="00884DC0">
              <w:rPr>
                <w:rFonts w:ascii="Arial" w:hAnsi="Arial" w:cs="Arial"/>
                <w:b/>
                <w:sz w:val="18"/>
                <w:szCs w:val="18"/>
              </w:rPr>
              <w:t>Pn</w:t>
            </w:r>
          </w:p>
        </w:tc>
        <w:tc>
          <w:tcPr>
            <w:tcW w:w="5870" w:type="dxa"/>
            <w:tcBorders>
              <w:top w:val="double" w:sz="1" w:space="0" w:color="000000"/>
              <w:left w:val="single" w:sz="4" w:space="0" w:color="000000"/>
              <w:bottom w:val="single" w:sz="4" w:space="0" w:color="000000"/>
            </w:tcBorders>
            <w:vAlign w:val="center"/>
          </w:tcPr>
          <w:p w:rsidR="004D1834" w:rsidRPr="00884DC0" w:rsidRDefault="004D1834">
            <w:pPr>
              <w:widowControl w:val="0"/>
              <w:snapToGrid w:val="0"/>
              <w:rPr>
                <w:rFonts w:ascii="Arial" w:hAnsi="Arial" w:cs="Arial"/>
                <w:b/>
                <w:sz w:val="18"/>
                <w:szCs w:val="18"/>
              </w:rPr>
            </w:pPr>
            <w:r w:rsidRPr="00884DC0">
              <w:rPr>
                <w:rFonts w:ascii="Arial" w:hAnsi="Arial" w:cs="Arial"/>
                <w:b/>
                <w:sz w:val="18"/>
                <w:szCs w:val="18"/>
              </w:rPr>
              <w:t>When Pn as shown at left is 3 to 9, or greater than 200, use designated formula below to calculate Pay Factor, PF = ...,</w:t>
            </w:r>
          </w:p>
          <w:p w:rsidR="004D1834" w:rsidRPr="00884DC0" w:rsidRDefault="004D1834">
            <w:pPr>
              <w:widowControl w:val="0"/>
              <w:rPr>
                <w:rFonts w:ascii="Arial" w:hAnsi="Arial" w:cs="Arial"/>
                <w:b/>
                <w:sz w:val="18"/>
                <w:szCs w:val="18"/>
              </w:rPr>
            </w:pPr>
            <w:r w:rsidRPr="00884DC0">
              <w:rPr>
                <w:rFonts w:ascii="Arial" w:hAnsi="Arial" w:cs="Arial"/>
                <w:b/>
                <w:sz w:val="18"/>
                <w:szCs w:val="18"/>
              </w:rPr>
              <w:t>when Pn is 10 to 200, use formula (1) above:</w:t>
            </w:r>
          </w:p>
        </w:tc>
        <w:tc>
          <w:tcPr>
            <w:tcW w:w="1787" w:type="dxa"/>
            <w:tcBorders>
              <w:top w:val="double" w:sz="1" w:space="0" w:color="000000"/>
              <w:left w:val="single" w:sz="4" w:space="0" w:color="000000"/>
              <w:bottom w:val="single" w:sz="4" w:space="0" w:color="000000"/>
              <w:right w:val="double" w:sz="1" w:space="0" w:color="000000"/>
            </w:tcBorders>
            <w:vAlign w:val="center"/>
          </w:tcPr>
          <w:p w:rsidR="004D1834" w:rsidRPr="00884DC0" w:rsidRDefault="004D1834">
            <w:pPr>
              <w:widowControl w:val="0"/>
              <w:snapToGrid w:val="0"/>
              <w:rPr>
                <w:rFonts w:ascii="Arial" w:hAnsi="Arial" w:cs="Arial"/>
                <w:b/>
                <w:sz w:val="18"/>
                <w:szCs w:val="18"/>
              </w:rPr>
            </w:pPr>
            <w:r w:rsidRPr="00884DC0">
              <w:rPr>
                <w:rFonts w:ascii="Arial" w:hAnsi="Arial" w:cs="Arial"/>
                <w:b/>
                <w:sz w:val="18"/>
                <w:szCs w:val="18"/>
              </w:rPr>
              <w:t>Maximum PF</w:t>
            </w:r>
          </w:p>
        </w:tc>
      </w:tr>
      <w:tr w:rsidR="004D1834" w:rsidRPr="00884DC0">
        <w:trPr>
          <w:trHeight w:val="360"/>
          <w:jc w:val="center"/>
        </w:trPr>
        <w:tc>
          <w:tcPr>
            <w:tcW w:w="1601" w:type="dxa"/>
            <w:tcBorders>
              <w:top w:val="single" w:sz="4" w:space="0" w:color="000000"/>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4" w:space="0" w:color="000000"/>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0.31177 + 1.57878 (QL/100) - 0.84862 (QL/100)</w:t>
            </w:r>
            <w:r w:rsidRPr="00884DC0">
              <w:rPr>
                <w:rFonts w:ascii="Arial" w:hAnsi="Arial" w:cs="Arial"/>
                <w:sz w:val="18"/>
                <w:szCs w:val="18"/>
                <w:vertAlign w:val="superscript"/>
              </w:rPr>
              <w:t>2</w:t>
            </w:r>
          </w:p>
        </w:tc>
        <w:tc>
          <w:tcPr>
            <w:tcW w:w="1787" w:type="dxa"/>
            <w:tcBorders>
              <w:top w:val="single" w:sz="4" w:space="0" w:color="000000"/>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1.025</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4</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0.27890 + 1.51471 (QL/100) - 0.73553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1.030</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5</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0.25529 + 1.48268 (QL/100) - 0.67759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1.030</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6</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0.19468 + 1.56729 (QL/100) - 0.70239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1.035</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7</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0.16709 + 1.58245 (QL/100) - 0.68705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1.035</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8</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0.16394 + 1.55070 (QL/100) - 0.65270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1.040</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9</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0.11412 + 1.63532 (QL/100) - 0.68786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1.040</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0.15344 + 1.50104 (QL/100) - 0.58896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1.045</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0.07278 + 1.64285 (QL/100) - 0.65033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1.045</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0.07826 + 1.55649 (QL/100) - 0.56616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1.050</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0.09907 + 1.43088 (QL/100) - 0.45550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1.050</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0.07373 + 1.41851 (QL/100) - 0.41777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1.055</w:t>
            </w:r>
          </w:p>
        </w:tc>
      </w:tr>
      <w:tr w:rsidR="004D1834" w:rsidRPr="00884DC0">
        <w:trPr>
          <w:trHeight w:val="360"/>
          <w:jc w:val="center"/>
        </w:trPr>
        <w:tc>
          <w:tcPr>
            <w:tcW w:w="1601"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sz w:val="18"/>
                <w:szCs w:val="18"/>
                <w:vertAlign w:val="superscript"/>
              </w:rPr>
            </w:pPr>
            <w:r w:rsidRPr="00884DC0">
              <w:rPr>
                <w:rFonts w:ascii="Arial" w:hAnsi="Arial" w:cs="Arial"/>
                <w:sz w:val="18"/>
                <w:szCs w:val="18"/>
              </w:rPr>
              <w:t>0.10586 + 1.26473 (QL/100) - 0.29660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1.055</w:t>
            </w:r>
          </w:p>
        </w:tc>
      </w:tr>
      <w:tr w:rsidR="004D1834" w:rsidRPr="00884DC0">
        <w:trPr>
          <w:trHeight w:val="360"/>
          <w:jc w:val="center"/>
        </w:trPr>
        <w:tc>
          <w:tcPr>
            <w:tcW w:w="1601" w:type="dxa"/>
            <w:tcBorders>
              <w:left w:val="double" w:sz="1"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left w:val="single" w:sz="4" w:space="0" w:color="000000"/>
            </w:tcBorders>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0.21611 + 0.86111 (QL/100)</w:t>
            </w:r>
          </w:p>
        </w:tc>
        <w:tc>
          <w:tcPr>
            <w:tcW w:w="1787"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1.060</w:t>
            </w:r>
          </w:p>
        </w:tc>
      </w:tr>
      <w:tr w:rsidR="004D1834" w:rsidRPr="00884DC0">
        <w:trPr>
          <w:trHeight w:val="360"/>
          <w:jc w:val="center"/>
        </w:trPr>
        <w:tc>
          <w:tcPr>
            <w:tcW w:w="1601" w:type="dxa"/>
            <w:tcBorders>
              <w:left w:val="double" w:sz="1" w:space="0" w:color="000000"/>
              <w:bottom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left w:val="single" w:sz="4" w:space="0" w:color="000000"/>
              <w:bottom w:val="double" w:sz="1" w:space="0" w:color="000000"/>
            </w:tcBorders>
            <w:shd w:val="clear" w:color="auto" w:fill="E0E0E0"/>
            <w:vAlign w:val="center"/>
          </w:tcPr>
          <w:p w:rsidR="004D1834" w:rsidRPr="00884DC0" w:rsidRDefault="004D1834">
            <w:pPr>
              <w:widowControl w:val="0"/>
              <w:snapToGrid w:val="0"/>
              <w:rPr>
                <w:rFonts w:ascii="Arial" w:hAnsi="Arial" w:cs="Arial"/>
                <w:sz w:val="18"/>
                <w:szCs w:val="18"/>
              </w:rPr>
            </w:pPr>
            <w:r w:rsidRPr="00884DC0">
              <w:rPr>
                <w:rFonts w:ascii="Arial" w:hAnsi="Arial" w:cs="Arial"/>
                <w:sz w:val="18"/>
                <w:szCs w:val="18"/>
              </w:rPr>
              <w:t>0.15221 + 0.92171 (QL/100)</w:t>
            </w:r>
          </w:p>
        </w:tc>
        <w:tc>
          <w:tcPr>
            <w:tcW w:w="1787" w:type="dxa"/>
            <w:tcBorders>
              <w:left w:val="single" w:sz="4" w:space="0" w:color="000000"/>
              <w:bottom w:val="double" w:sz="1"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sz w:val="18"/>
                <w:szCs w:val="18"/>
              </w:rPr>
            </w:pPr>
            <w:r w:rsidRPr="00884DC0">
              <w:rPr>
                <w:rFonts w:ascii="Arial" w:hAnsi="Arial" w:cs="Arial"/>
                <w:sz w:val="18"/>
                <w:szCs w:val="18"/>
              </w:rPr>
              <w:t>1.060</w:t>
            </w:r>
          </w:p>
        </w:tc>
      </w:tr>
    </w:tbl>
    <w:p w:rsidR="004D1834" w:rsidRPr="00884DC0" w:rsidRDefault="004D1834">
      <w:pPr>
        <w:widowControl w:val="0"/>
        <w:jc w:val="center"/>
        <w:rPr>
          <w:rFonts w:ascii="Arial" w:hAnsi="Arial" w:cs="Arial"/>
        </w:rPr>
      </w:pPr>
    </w:p>
    <w:p w:rsidR="004D1834" w:rsidRPr="00884DC0" w:rsidRDefault="004D1834">
      <w:pPr>
        <w:pStyle w:val="Header"/>
        <w:widowControl w:val="0"/>
        <w:tabs>
          <w:tab w:val="clear" w:pos="4320"/>
          <w:tab w:val="clear" w:pos="8640"/>
        </w:tabs>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i/>
          <w:iCs/>
        </w:rPr>
      </w:pPr>
      <w:r w:rsidRPr="00884DC0">
        <w:rPr>
          <w:rFonts w:ascii="Arial" w:hAnsi="Arial" w:cs="Arial"/>
          <w:i/>
          <w:iCs/>
        </w:rPr>
        <w:t xml:space="preserve">Process I/DP Computation.   </w:t>
      </w:r>
    </w:p>
    <w:p w:rsidR="004D1834" w:rsidRPr="00884DC0" w:rsidRDefault="004D1834">
      <w:pPr>
        <w:jc w:val="both"/>
        <w:rPr>
          <w:rFonts w:ascii="Arial" w:hAnsi="Arial" w:cs="Arial"/>
          <w:b/>
        </w:rPr>
      </w:pPr>
    </w:p>
    <w:p w:rsidR="004D1834" w:rsidRPr="00884DC0" w:rsidRDefault="004D1834">
      <w:pPr>
        <w:jc w:val="both"/>
        <w:rPr>
          <w:rFonts w:ascii="Arial" w:hAnsi="Arial" w:cs="Arial"/>
          <w:b/>
        </w:rPr>
      </w:pPr>
    </w:p>
    <w:p w:rsidR="004D1834" w:rsidRPr="00884DC0" w:rsidRDefault="004D1834">
      <w:pPr>
        <w:ind w:left="720" w:firstLine="720"/>
        <w:jc w:val="both"/>
        <w:rPr>
          <w:rFonts w:ascii="Arial" w:hAnsi="Arial" w:cs="Arial"/>
        </w:rPr>
      </w:pPr>
      <w:r w:rsidRPr="00884DC0">
        <w:rPr>
          <w:rFonts w:ascii="Arial" w:hAnsi="Arial" w:cs="Arial"/>
        </w:rPr>
        <w:t>I/DP =</w:t>
      </w:r>
      <w:r w:rsidRPr="00884DC0">
        <w:rPr>
          <w:rFonts w:ascii="Arial" w:hAnsi="Arial" w:cs="Arial"/>
        </w:rPr>
        <w:tab/>
        <w:t>(PF - 1</w:t>
      </w:r>
      <w:proofErr w:type="gramStart"/>
      <w:r w:rsidRPr="00884DC0">
        <w:rPr>
          <w:rFonts w:ascii="Arial" w:hAnsi="Arial" w:cs="Arial"/>
        </w:rPr>
        <w:t>)(</w:t>
      </w:r>
      <w:proofErr w:type="gramEnd"/>
      <w:r w:rsidRPr="00884DC0">
        <w:rPr>
          <w:rFonts w:ascii="Arial" w:hAnsi="Arial" w:cs="Arial"/>
        </w:rPr>
        <w:t>QR)(UP)(W/100)</w:t>
      </w:r>
    </w:p>
    <w:p w:rsidR="004D1834" w:rsidRPr="00884DC0" w:rsidRDefault="004D1834">
      <w:pPr>
        <w:jc w:val="both"/>
        <w:rPr>
          <w:rFonts w:ascii="Arial" w:hAnsi="Arial" w:cs="Arial"/>
          <w:b/>
        </w:rPr>
      </w:pPr>
    </w:p>
    <w:p w:rsidR="004D1834" w:rsidRPr="00884DC0" w:rsidRDefault="004D1834">
      <w:pPr>
        <w:pStyle w:val="BodyText"/>
        <w:spacing w:line="100" w:lineRule="atLeast"/>
        <w:rPr>
          <w:rFonts w:ascii="Arial" w:hAnsi="Arial" w:cs="Arial"/>
        </w:rPr>
      </w:pPr>
    </w:p>
    <w:p w:rsidR="004D1834" w:rsidRPr="00884DC0" w:rsidRDefault="004D1834">
      <w:pPr>
        <w:pStyle w:val="BodyText"/>
        <w:spacing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rsidR="004D1834" w:rsidRPr="00884DC0" w:rsidRDefault="004D1834">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rsidR="004D1834" w:rsidRPr="00884DC0" w:rsidRDefault="004D1834">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QR</w:t>
      </w:r>
      <w:r w:rsidRPr="00884DC0">
        <w:rPr>
          <w:rFonts w:ascii="Arial" w:hAnsi="Arial" w:cs="Arial"/>
          <w:b w:val="0"/>
        </w:rPr>
        <w:tab/>
        <w:t>=</w:t>
      </w:r>
      <w:r w:rsidRPr="00884DC0">
        <w:rPr>
          <w:rFonts w:ascii="Arial" w:hAnsi="Arial" w:cs="Arial"/>
          <w:b w:val="0"/>
        </w:rPr>
        <w:tab/>
        <w:t>Quantity in Tons of HMA Represented by the Process</w:t>
      </w:r>
    </w:p>
    <w:p w:rsidR="004D1834" w:rsidRPr="00884DC0" w:rsidRDefault="004D1834">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rsidR="004D1834" w:rsidRPr="00884DC0" w:rsidRDefault="004D1834">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rsidR="004D1834" w:rsidRPr="00884DC0" w:rsidRDefault="004D1834">
      <w:pPr>
        <w:ind w:right="720"/>
        <w:jc w:val="both"/>
        <w:rPr>
          <w:rFonts w:ascii="Arial" w:hAnsi="Arial" w:cs="Arial"/>
          <w:shd w:val="clear" w:color="auto" w:fill="00FFFF"/>
        </w:rPr>
      </w:pPr>
    </w:p>
    <w:p w:rsidR="004D1834" w:rsidRPr="00884DC0" w:rsidRDefault="004D1834">
      <w:pPr>
        <w:ind w:left="360" w:right="720" w:firstLine="360"/>
        <w:rPr>
          <w:rFonts w:ascii="Arial" w:hAnsi="Arial" w:cs="Arial"/>
        </w:rPr>
      </w:pPr>
      <w:r w:rsidRPr="00884DC0">
        <w:rPr>
          <w:rFonts w:ascii="Arial" w:hAnsi="Arial" w:cs="Arial"/>
        </w:rPr>
        <w:t>When AC is paid for separately UP shall be:</w:t>
      </w:r>
    </w:p>
    <w:p w:rsidR="004D1834" w:rsidRPr="00884DC0" w:rsidRDefault="004D1834">
      <w:pPr>
        <w:ind w:left="360" w:right="720" w:firstLine="360"/>
        <w:rPr>
          <w:rFonts w:ascii="Arial" w:hAnsi="Arial" w:cs="Arial"/>
        </w:rPr>
      </w:pPr>
    </w:p>
    <w:p w:rsidR="004D1834" w:rsidRPr="00884DC0" w:rsidRDefault="004D1834">
      <w:pPr>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w:t>
      </w:r>
      <w:proofErr w:type="spellStart"/>
      <w:r w:rsidRPr="00884DC0">
        <w:rPr>
          <w:rFonts w:ascii="Arial" w:hAnsi="Arial" w:cs="Arial"/>
        </w:rPr>
        <w:t>Ton</w:t>
      </w:r>
      <w:r w:rsidRPr="00884DC0">
        <w:rPr>
          <w:rFonts w:ascii="Arial" w:hAnsi="Arial" w:cs="Arial"/>
          <w:vertAlign w:val="subscript"/>
        </w:rPr>
        <w:t>HMA</w:t>
      </w:r>
      <w:proofErr w:type="spellEnd"/>
      <w:proofErr w:type="gramStart"/>
      <w:r w:rsidRPr="00884DC0">
        <w:rPr>
          <w:rFonts w:ascii="Arial" w:hAnsi="Arial" w:cs="Arial"/>
        </w:rPr>
        <w:t>)(</w:t>
      </w:r>
      <w:proofErr w:type="gramEnd"/>
      <w:r w:rsidRPr="00884DC0">
        <w:rPr>
          <w:rFonts w:ascii="Arial" w:hAnsi="Arial" w:cs="Arial"/>
        </w:rPr>
        <w:t>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rsidR="004D1834" w:rsidRPr="00884DC0" w:rsidRDefault="004D1834">
      <w:pPr>
        <w:ind w:left="1440" w:right="720" w:firstLine="360"/>
        <w:jc w:val="both"/>
        <w:rPr>
          <w:rFonts w:ascii="Arial" w:hAnsi="Arial" w:cs="Arial"/>
          <w:shd w:val="clear" w:color="auto" w:fill="00FFFF"/>
        </w:rPr>
      </w:pPr>
    </w:p>
    <w:p w:rsidR="004D1834" w:rsidRPr="00884DC0" w:rsidRDefault="004D1834">
      <w:pPr>
        <w:pStyle w:val="BodyText"/>
        <w:spacing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rsidR="004D1834" w:rsidRPr="00884DC0" w:rsidRDefault="004D1834">
      <w:pPr>
        <w:pStyle w:val="BodyText"/>
        <w:spacing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t>UP</w:t>
      </w:r>
      <w:r w:rsidRPr="00884DC0">
        <w:rPr>
          <w:rFonts w:ascii="Arial" w:hAnsi="Arial" w:cs="Arial"/>
          <w:b w:val="0"/>
          <w:vertAlign w:val="subscript"/>
        </w:rPr>
        <w:t>HMA</w:t>
      </w:r>
      <w:r w:rsidRPr="00884DC0">
        <w:rPr>
          <w:rFonts w:ascii="Arial" w:hAnsi="Arial" w:cs="Arial"/>
          <w:b w:val="0"/>
        </w:rPr>
        <w:tab/>
        <w:t>=</w:t>
      </w:r>
      <w:r w:rsidRPr="00884DC0">
        <w:rPr>
          <w:rFonts w:ascii="Arial" w:hAnsi="Arial" w:cs="Arial"/>
          <w:b w:val="0"/>
        </w:rPr>
        <w:tab/>
        <w:t>Unit Bid Price of Asphalt Mix</w:t>
      </w:r>
    </w:p>
    <w:p w:rsidR="004D1834" w:rsidRPr="00884DC0" w:rsidRDefault="004D1834">
      <w:pPr>
        <w:pStyle w:val="BodyText"/>
        <w:spacing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rsidR="004D1834" w:rsidRPr="00884DC0" w:rsidRDefault="004D1834">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vertAlign w:val="subscript"/>
        </w:rPr>
        <w:t>AC</w:t>
      </w:r>
      <w:r w:rsidRPr="00884DC0">
        <w:rPr>
          <w:rFonts w:ascii="Arial" w:hAnsi="Arial" w:cs="Arial"/>
        </w:rPr>
        <w:tab/>
        <w:t>=</w:t>
      </w:r>
      <w:r w:rsidRPr="00884DC0">
        <w:rPr>
          <w:rFonts w:ascii="Arial" w:hAnsi="Arial" w:cs="Arial"/>
        </w:rPr>
        <w:tab/>
        <w:t>Unit Bid Price of Asphalt Cement</w:t>
      </w:r>
    </w:p>
    <w:p w:rsidR="004D1834" w:rsidRPr="00884DC0" w:rsidRDefault="004D1834">
      <w:pPr>
        <w:jc w:val="both"/>
        <w:rPr>
          <w:rFonts w:ascii="Arial" w:hAnsi="Arial" w:cs="Arial"/>
          <w:b/>
        </w:rPr>
      </w:pPr>
    </w:p>
    <w:p w:rsidR="004D1834" w:rsidRPr="00884DC0" w:rsidRDefault="004D1834">
      <w:pPr>
        <w:jc w:val="both"/>
        <w:rPr>
          <w:rFonts w:ascii="Arial" w:hAnsi="Arial" w:cs="Arial"/>
          <w:bCs/>
        </w:rPr>
      </w:pPr>
      <w:r w:rsidRPr="00884DC0">
        <w:rPr>
          <w:rFonts w:ascii="Arial" w:hAnsi="Arial" w:cs="Arial"/>
          <w:b/>
        </w:rPr>
        <w:tab/>
      </w:r>
      <w:r w:rsidRPr="00884DC0">
        <w:rPr>
          <w:rFonts w:ascii="Arial" w:hAnsi="Arial" w:cs="Arial"/>
          <w:b/>
        </w:rPr>
        <w:tab/>
      </w:r>
      <w:r w:rsidRPr="00884DC0">
        <w:rPr>
          <w:rFonts w:ascii="Arial" w:hAnsi="Arial" w:cs="Arial"/>
          <w:bCs/>
        </w:rPr>
        <w:t>For the Joint Density element:</w:t>
      </w:r>
    </w:p>
    <w:p w:rsidR="004D1834" w:rsidRPr="00884DC0" w:rsidRDefault="004D1834" w:rsidP="004D1834">
      <w:pPr>
        <w:pStyle w:val="Heading4"/>
        <w:numPr>
          <w:ilvl w:val="3"/>
          <w:numId w:val="10"/>
        </w:numPr>
        <w:tabs>
          <w:tab w:val="left" w:pos="360"/>
        </w:tabs>
        <w:suppressAutoHyphens/>
        <w:ind w:left="360"/>
        <w:jc w:val="both"/>
        <w:rPr>
          <w:rFonts w:ascii="Arial" w:hAnsi="Arial" w:cs="Arial"/>
          <w:sz w:val="20"/>
        </w:rPr>
      </w:pPr>
    </w:p>
    <w:p w:rsidR="004D1834" w:rsidRPr="00884DC0" w:rsidRDefault="004D1834">
      <w:pPr>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t>UP</w:t>
      </w:r>
      <w:r w:rsidRPr="00884DC0">
        <w:rPr>
          <w:rFonts w:ascii="Arial" w:hAnsi="Arial" w:cs="Arial"/>
          <w:vertAlign w:val="subscript"/>
        </w:rPr>
        <w:t>HMA</w:t>
      </w:r>
    </w:p>
    <w:p w:rsidR="004D1834" w:rsidRPr="00884DC0" w:rsidRDefault="004D1834">
      <w:pPr>
        <w:rPr>
          <w:rFonts w:ascii="Arial" w:hAnsi="Arial" w:cs="Arial"/>
        </w:rPr>
      </w:pPr>
    </w:p>
    <w:p w:rsidR="004D1834" w:rsidRPr="00884DC0" w:rsidRDefault="004D1834">
      <w:pPr>
        <w:rPr>
          <w:rFonts w:ascii="Arial" w:hAnsi="Arial" w:cs="Arial"/>
        </w:rPr>
      </w:pPr>
      <w:r w:rsidRPr="00884DC0">
        <w:rPr>
          <w:rFonts w:ascii="Arial" w:hAnsi="Arial" w:cs="Arial"/>
        </w:rPr>
        <w:t xml:space="preserve">                    Where: </w:t>
      </w:r>
      <w:proofErr w:type="gramStart"/>
      <w:r w:rsidRPr="00884DC0">
        <w:rPr>
          <w:rFonts w:ascii="Arial" w:hAnsi="Arial" w:cs="Arial"/>
        </w:rPr>
        <w:t>UP</w:t>
      </w:r>
      <w:r w:rsidRPr="00884DC0">
        <w:rPr>
          <w:rFonts w:ascii="Arial" w:hAnsi="Arial" w:cs="Arial"/>
          <w:vertAlign w:val="subscript"/>
        </w:rPr>
        <w:t xml:space="preserve">HMA </w:t>
      </w:r>
      <w:r w:rsidRPr="00884DC0">
        <w:rPr>
          <w:rFonts w:ascii="Arial" w:hAnsi="Arial" w:cs="Arial"/>
        </w:rPr>
        <w:t xml:space="preserve"> is</w:t>
      </w:r>
      <w:proofErr w:type="gramEnd"/>
      <w:r w:rsidRPr="00884DC0">
        <w:rPr>
          <w:rFonts w:ascii="Arial" w:hAnsi="Arial" w:cs="Arial"/>
        </w:rPr>
        <w:t xml:space="preserve"> as defined above.          </w:t>
      </w:r>
    </w:p>
    <w:p w:rsidR="004D1834" w:rsidRPr="00884DC0" w:rsidRDefault="004D1834">
      <w:pPr>
        <w:jc w:val="both"/>
        <w:rPr>
          <w:rFonts w:ascii="Arial" w:hAnsi="Arial" w:cs="Arial"/>
          <w:bCs/>
          <w:shd w:val="clear" w:color="auto" w:fill="00FFFF"/>
        </w:rPr>
      </w:pPr>
    </w:p>
    <w:p w:rsidR="004D1834" w:rsidRPr="00884DC0" w:rsidRDefault="004D1834">
      <w:pPr>
        <w:ind w:left="360" w:right="720" w:firstLine="360"/>
        <w:jc w:val="both"/>
        <w:rPr>
          <w:rFonts w:ascii="Arial" w:hAnsi="Arial" w:cs="Arial"/>
        </w:rPr>
      </w:pPr>
      <w:r w:rsidRPr="00884DC0">
        <w:rPr>
          <w:rFonts w:ascii="Arial" w:hAnsi="Arial" w:cs="Arial"/>
        </w:rPr>
        <w:t>When AC is paid for separately UP shall be:</w:t>
      </w:r>
    </w:p>
    <w:p w:rsidR="004D1834" w:rsidRPr="00884DC0" w:rsidRDefault="004D1834">
      <w:pPr>
        <w:ind w:left="360" w:right="720" w:firstLine="360"/>
        <w:jc w:val="both"/>
        <w:rPr>
          <w:rFonts w:ascii="Arial" w:hAnsi="Arial" w:cs="Arial"/>
        </w:rPr>
      </w:pPr>
    </w:p>
    <w:p w:rsidR="004D1834" w:rsidRPr="00884DC0" w:rsidRDefault="004D1834">
      <w:pPr>
        <w:ind w:left="360" w:right="720" w:firstLine="720"/>
        <w:rPr>
          <w:rFonts w:ascii="Arial" w:hAnsi="Arial" w:cs="Arial"/>
          <w:vertAlign w:val="subscript"/>
        </w:rPr>
      </w:pPr>
      <w:r w:rsidRPr="00884DC0">
        <w:rPr>
          <w:rFonts w:ascii="Arial" w:hAnsi="Arial" w:cs="Arial"/>
        </w:rPr>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)(BUP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)(BUP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rsidR="004D1834" w:rsidRPr="00884DC0" w:rsidRDefault="004D1834">
      <w:pPr>
        <w:ind w:left="1080" w:right="720" w:firstLine="360"/>
        <w:jc w:val="both"/>
        <w:rPr>
          <w:rFonts w:ascii="Arial" w:hAnsi="Arial" w:cs="Arial"/>
        </w:rPr>
      </w:pPr>
    </w:p>
    <w:p w:rsidR="004D1834" w:rsidRPr="00884DC0" w:rsidRDefault="004D1834">
      <w:pPr>
        <w:ind w:left="1440" w:right="720" w:firstLine="360"/>
        <w:jc w:val="both"/>
        <w:rPr>
          <w:rFonts w:ascii="Arial" w:hAnsi="Arial" w:cs="Arial"/>
        </w:rPr>
      </w:pPr>
    </w:p>
    <w:p w:rsidR="004D1834" w:rsidRPr="00884DC0" w:rsidRDefault="004D1834">
      <w:pPr>
        <w:pStyle w:val="BodyText"/>
        <w:spacing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rsidR="004D1834" w:rsidRPr="00884DC0" w:rsidRDefault="004D1834">
      <w:pPr>
        <w:pStyle w:val="BodyText"/>
        <w:spacing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t>BUP</w:t>
      </w:r>
      <w:r w:rsidRPr="00884DC0">
        <w:rPr>
          <w:rFonts w:ascii="Arial" w:hAnsi="Arial" w:cs="Arial"/>
          <w:b w:val="0"/>
          <w:vertAlign w:val="subscript"/>
        </w:rPr>
        <w:t>HMA</w:t>
      </w:r>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rsidR="004D1834" w:rsidRPr="00884DC0" w:rsidRDefault="004D1834">
      <w:pPr>
        <w:pStyle w:val="BodyText"/>
        <w:spacing w:line="100" w:lineRule="atLeast"/>
        <w:ind w:left="1800" w:firstLine="360"/>
        <w:rPr>
          <w:rFonts w:ascii="Arial" w:hAnsi="Arial" w:cs="Arial"/>
          <w:b w:val="0"/>
        </w:rPr>
      </w:pPr>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rsidR="004D1834" w:rsidRPr="00884DC0" w:rsidRDefault="004D1834">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BUP</w:t>
      </w:r>
      <w:r w:rsidRPr="00884DC0">
        <w:rPr>
          <w:rFonts w:ascii="Arial" w:hAnsi="Arial" w:cs="Arial"/>
          <w:vertAlign w:val="subscript"/>
        </w:rPr>
        <w:t>AC</w:t>
      </w:r>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rsidR="004D1834" w:rsidRPr="00884DC0" w:rsidRDefault="004D1834">
      <w:pPr>
        <w:pStyle w:val="BodyText"/>
        <w:spacing w:line="100" w:lineRule="atLeast"/>
        <w:rPr>
          <w:rFonts w:ascii="Arial" w:hAnsi="Arial" w:cs="Arial"/>
        </w:rPr>
      </w:pPr>
    </w:p>
    <w:p w:rsidR="004D1834" w:rsidRPr="00884DC0" w:rsidRDefault="004D1834">
      <w:pPr>
        <w:widowControl w:val="0"/>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i/>
          <w:iCs/>
        </w:rPr>
        <w:t>Element I/DP.</w:t>
      </w:r>
      <w:r w:rsidRPr="00884DC0">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/DP for an element shall be computed by accumulating the process I/DP for that element.</w:t>
      </w:r>
    </w:p>
    <w:p w:rsidR="004D1834" w:rsidRPr="00884DC0" w:rsidRDefault="004D1834">
      <w:pPr>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i/>
          <w:iCs/>
        </w:rPr>
        <w:t>I/DP for a Mix Design.</w:t>
      </w:r>
      <w:r w:rsidRPr="00884DC0">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a mix design.</w:t>
      </w:r>
    </w:p>
    <w:p w:rsidR="004D1834" w:rsidRPr="00884DC0" w:rsidRDefault="004D1834">
      <w:pPr>
        <w:rPr>
          <w:rFonts w:ascii="Arial" w:hAnsi="Arial" w:cs="Arial"/>
        </w:rPr>
      </w:pPr>
    </w:p>
    <w:p w:rsidR="004D1834" w:rsidRPr="00884DC0" w:rsidRDefault="004D1834" w:rsidP="004D1834">
      <w:pPr>
        <w:widowControl w:val="0"/>
        <w:numPr>
          <w:ilvl w:val="0"/>
          <w:numId w:val="9"/>
        </w:numPr>
        <w:tabs>
          <w:tab w:val="clear" w:pos="720"/>
          <w:tab w:val="left" w:pos="360"/>
        </w:tabs>
        <w:suppressAutoHyphens/>
        <w:ind w:left="360"/>
        <w:rPr>
          <w:rFonts w:ascii="Arial" w:hAnsi="Arial" w:cs="Arial"/>
        </w:rPr>
      </w:pPr>
      <w:r w:rsidRPr="00884DC0">
        <w:rPr>
          <w:rFonts w:ascii="Arial" w:hAnsi="Arial" w:cs="Arial"/>
          <w:i/>
          <w:iCs/>
        </w:rPr>
        <w:t xml:space="preserve">Project </w:t>
      </w:r>
      <w:proofErr w:type="gramStart"/>
      <w:r w:rsidRPr="00884DC0">
        <w:rPr>
          <w:rFonts w:ascii="Arial" w:hAnsi="Arial" w:cs="Arial"/>
          <w:i/>
          <w:iCs/>
        </w:rPr>
        <w:t>I/DP</w:t>
      </w:r>
      <w:proofErr w:type="gramEnd"/>
      <w:r w:rsidRPr="00884DC0">
        <w:rPr>
          <w:rFonts w:ascii="Arial" w:hAnsi="Arial" w:cs="Arial"/>
          <w:i/>
          <w:iCs/>
        </w:rPr>
        <w:t>.</w:t>
      </w:r>
      <w:r w:rsidRPr="00884DC0">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 xml:space="preserve">/DP for the project shall be computed by accumulating the mix design I/DP’s and the joint density I/DP’s.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the project.</w:t>
      </w:r>
    </w:p>
    <w:p w:rsidR="004D1834" w:rsidRPr="00884DC0" w:rsidRDefault="004D1834">
      <w:pPr>
        <w:widowControl w:val="0"/>
        <w:rPr>
          <w:rFonts w:ascii="Arial" w:hAnsi="Arial" w:cs="Arial"/>
        </w:rPr>
      </w:pPr>
    </w:p>
    <w:p w:rsidR="004D1834" w:rsidRPr="00884DC0" w:rsidRDefault="004D1834">
      <w:pPr>
        <w:pStyle w:val="BodyText"/>
        <w:spacing w:line="100" w:lineRule="atLeast"/>
        <w:rPr>
          <w:rFonts w:ascii="Arial" w:hAnsi="Arial" w:cs="Arial"/>
          <w:b w:val="0"/>
        </w:rPr>
      </w:pPr>
      <w:r w:rsidRPr="00884DC0">
        <w:rPr>
          <w:rFonts w:ascii="Arial" w:hAnsi="Arial" w:cs="Arial"/>
          <w:b w:val="0"/>
        </w:rPr>
        <w:t>Delete subsection 106.05 and replace with the following:</w:t>
      </w:r>
    </w:p>
    <w:p w:rsidR="004D1834" w:rsidRPr="00884DC0" w:rsidRDefault="004D1834">
      <w:pPr>
        <w:jc w:val="both"/>
        <w:rPr>
          <w:rFonts w:ascii="Arial" w:hAnsi="Arial" w:cs="Arial"/>
        </w:rPr>
      </w:pPr>
    </w:p>
    <w:p w:rsidR="004D1834" w:rsidRPr="00884DC0" w:rsidRDefault="004D1834">
      <w:pPr>
        <w:pStyle w:val="BodyText"/>
        <w:rPr>
          <w:rFonts w:ascii="Arial" w:hAnsi="Arial" w:cs="Arial"/>
          <w:b w:val="0"/>
        </w:rPr>
      </w:pPr>
      <w:r w:rsidRPr="00884DC0">
        <w:rPr>
          <w:rFonts w:ascii="Arial" w:hAnsi="Arial" w:cs="Arial"/>
          <w:b w:val="0"/>
          <w:bCs/>
        </w:rPr>
        <w:t xml:space="preserve">106.05 Sampling and Testing of Hot Mix Asphalt.  </w:t>
      </w:r>
      <w:r w:rsidRPr="00884DC0">
        <w:rPr>
          <w:rFonts w:ascii="Arial" w:hAnsi="Arial" w:cs="Arial"/>
          <w:b w:val="0"/>
        </w:rPr>
        <w:t>All HMA, Item 403, except HMA (Patching) and temporary pavement shall be tested in accordance with the following program of process control testing and acceptance testing:</w:t>
      </w:r>
    </w:p>
    <w:p w:rsidR="004D1834" w:rsidRPr="00884DC0" w:rsidRDefault="004D1834">
      <w:pPr>
        <w:rPr>
          <w:rFonts w:ascii="Arial" w:hAnsi="Arial" w:cs="Arial"/>
        </w:rPr>
      </w:pPr>
    </w:p>
    <w:p w:rsidR="004D1834" w:rsidRPr="00884DC0" w:rsidRDefault="004D1834">
      <w:pPr>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1.  Process control testing shall be performed at the expense of the Contractor.  The Contractor shall develop a quality control plan (QCP) in accordance with the following:</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1.</w:t>
      </w:r>
      <w:r w:rsidRPr="00884DC0">
        <w:rPr>
          <w:rFonts w:ascii="Arial" w:hAnsi="Arial" w:cs="Arial"/>
        </w:rPr>
        <w:tab/>
        <w:t>Quality Control Plan.  For each element listed in Table 106</w:t>
      </w:r>
      <w:r w:rsidRPr="00884DC0">
        <w:rPr>
          <w:rFonts w:ascii="Arial" w:hAnsi="Arial" w:cs="Arial"/>
        </w:rPr>
        <w:noBreakHyphen/>
        <w:t>1, the QCP must provide adequate details to ensure that the Contractor will perform process control.  The Contractor shall submit the QCP to the Engineer at the preconstruction conference.  The Contractor shall not start any work on the project until the Engineer has approved the QCP in writing.</w:t>
      </w:r>
    </w:p>
    <w:p w:rsidR="004D1834" w:rsidRPr="00884DC0" w:rsidRDefault="004D1834">
      <w:pPr>
        <w:rPr>
          <w:rFonts w:ascii="Arial" w:hAnsi="Arial" w:cs="Arial"/>
        </w:rPr>
      </w:pPr>
    </w:p>
    <w:p w:rsidR="004D1834" w:rsidRPr="00884DC0" w:rsidRDefault="004D1834">
      <w:pPr>
        <w:ind w:left="1080" w:hanging="360"/>
        <w:rPr>
          <w:rFonts w:ascii="Arial" w:hAnsi="Arial" w:cs="Arial"/>
        </w:rPr>
      </w:pPr>
      <w:r w:rsidRPr="00884DC0">
        <w:rPr>
          <w:rFonts w:ascii="Arial" w:hAnsi="Arial" w:cs="Arial"/>
        </w:rPr>
        <w:t>A.</w:t>
      </w:r>
      <w:r w:rsidRPr="00884DC0">
        <w:rPr>
          <w:rFonts w:ascii="Arial" w:hAnsi="Arial" w:cs="Arial"/>
        </w:rPr>
        <w:tab/>
        <w:t>Frequency of Tests or Measurements.  The QCP shall indicate a random sampling frequency, which shall not be less than that shown in Table 106</w:t>
      </w:r>
      <w:r w:rsidRPr="00884DC0">
        <w:rPr>
          <w:rFonts w:ascii="Arial" w:hAnsi="Arial" w:cs="Arial"/>
        </w:rPr>
        <w:noBreakHyphen/>
        <w:t>1.  The process control tests shall be independent of acceptance tests.</w:t>
      </w:r>
    </w:p>
    <w:p w:rsidR="004D1834" w:rsidRPr="00884DC0" w:rsidRDefault="004D1834">
      <w:pPr>
        <w:rPr>
          <w:rFonts w:ascii="Arial" w:hAnsi="Arial" w:cs="Arial"/>
        </w:rPr>
      </w:pPr>
    </w:p>
    <w:p w:rsidR="004D1834" w:rsidRPr="00884DC0" w:rsidRDefault="004D1834">
      <w:pPr>
        <w:ind w:left="1080" w:hanging="360"/>
        <w:rPr>
          <w:rFonts w:ascii="Arial" w:hAnsi="Arial" w:cs="Arial"/>
        </w:rPr>
      </w:pPr>
      <w:r w:rsidRPr="00884DC0">
        <w:rPr>
          <w:rFonts w:ascii="Arial" w:hAnsi="Arial" w:cs="Arial"/>
        </w:rPr>
        <w:t>B.</w:t>
      </w:r>
      <w:r w:rsidRPr="00884DC0">
        <w:rPr>
          <w:rFonts w:ascii="Arial" w:hAnsi="Arial" w:cs="Arial"/>
        </w:rPr>
        <w:tab/>
        <w:t>Worksheets, Forms, and Charts.  The Contractor shall submit examples of worksheets, test result forms, and test results charts in accordance with CP 12 as part of the QCP.</w:t>
      </w:r>
    </w:p>
    <w:p w:rsidR="004D1834" w:rsidRPr="00884DC0" w:rsidRDefault="004D1834">
      <w:pPr>
        <w:rPr>
          <w:rFonts w:ascii="Arial" w:hAnsi="Arial" w:cs="Arial"/>
        </w:rPr>
      </w:pPr>
    </w:p>
    <w:p w:rsidR="004D1834" w:rsidRPr="00884DC0" w:rsidRDefault="00522DB7">
      <w:pPr>
        <w:ind w:left="1080" w:hanging="360"/>
        <w:rPr>
          <w:rFonts w:ascii="Arial" w:hAnsi="Arial" w:cs="Arial"/>
        </w:rPr>
      </w:pPr>
      <w:r w:rsidRPr="00884DC0">
        <w:rPr>
          <w:rFonts w:ascii="Arial" w:hAnsi="Arial" w:cs="Arial"/>
        </w:rPr>
        <w:t>C.</w:t>
      </w:r>
      <w:r w:rsidR="004D1834" w:rsidRPr="00884DC0">
        <w:rPr>
          <w:rFonts w:ascii="Arial" w:hAnsi="Arial" w:cs="Arial"/>
        </w:rPr>
        <w:tab/>
        <w:t>Test Result Chart.  Each process control test result, the appropriate tonnage and the tolerance limits shall be plotted. For in</w:t>
      </w:r>
      <w:r w:rsidR="004D1834" w:rsidRPr="00884DC0">
        <w:rPr>
          <w:rFonts w:ascii="Arial" w:hAnsi="Arial" w:cs="Arial"/>
        </w:rPr>
        <w:noBreakHyphen/>
        <w:t>place density tests, only results after final compaction shall be shown. The chart shall be posted daily at a location convenient for viewing by the Engineer.</w:t>
      </w:r>
    </w:p>
    <w:p w:rsidR="004D1834" w:rsidRPr="00884DC0" w:rsidRDefault="004D1834">
      <w:pPr>
        <w:rPr>
          <w:rFonts w:ascii="Arial" w:hAnsi="Arial" w:cs="Arial"/>
        </w:rPr>
      </w:pPr>
    </w:p>
    <w:p w:rsidR="004D1834" w:rsidRPr="00884DC0" w:rsidRDefault="004D1834">
      <w:pPr>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(QL) for each element used to calculate incentive or disincentive in Table 106</w:t>
      </w:r>
      <w:r w:rsidRPr="00884DC0">
        <w:rPr>
          <w:rFonts w:ascii="Arial" w:hAnsi="Arial" w:cs="Arial"/>
        </w:rPr>
        <w:noBreakHyphen/>
        <w:t>1 and each required sieve size shall be plotted.  The QL will be calculated in accordance with the procedure in CP 71 for Determining Quality Level (QL).  The QL will be calculated on tests 1 through 3, then tests 1 through 4, then tests 1 through 5, then thereafter the last five consecutive test results.  The tonnage of material represented by the last test result shall 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lastRenderedPageBreak/>
        <w:t>2.</w:t>
      </w:r>
      <w:r w:rsidRPr="00884DC0">
        <w:rPr>
          <w:rFonts w:ascii="Arial" w:hAnsi="Arial" w:cs="Arial"/>
        </w:rPr>
        <w:tab/>
        <w:t>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QCP.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3.</w:t>
      </w:r>
      <w:r w:rsidRPr="00884DC0">
        <w:rPr>
          <w:rFonts w:ascii="Arial" w:hAnsi="Arial" w:cs="Arial"/>
        </w:rPr>
        <w:tab/>
        <w:t>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QCP.</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4.</w:t>
      </w:r>
      <w:r w:rsidRPr="00884DC0">
        <w:rPr>
          <w:rFonts w:ascii="Arial" w:hAnsi="Arial" w:cs="Arial"/>
        </w:rPr>
        <w:tab/>
        <w:t>Testing Standards.  The QCP shall indicate which testing standards will be followed.  Acceptable standards are Colorado Procedures, AASHTO and ASTM.  The order of precedence is Colorado Procedures, AASHTO procedures and then ASTM procedures.</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5.</w:t>
      </w:r>
      <w:r w:rsidRPr="00884DC0">
        <w:rPr>
          <w:rFonts w:ascii="Arial" w:hAnsi="Arial" w:cs="Arial"/>
        </w:rPr>
        <w:tab/>
        <w:t>Testing Supervisor Qualifications.  The person responsible for the process control sampling and testing shall be identified in the QCP and be qualified according to the requirements of CP 10</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rsidR="004D1834" w:rsidRPr="00884DC0" w:rsidRDefault="004D1834">
      <w:pPr>
        <w:rPr>
          <w:rFonts w:ascii="Arial" w:hAnsi="Arial" w:cs="Arial"/>
        </w:rPr>
      </w:pPr>
    </w:p>
    <w:p w:rsidR="004D1834" w:rsidRPr="00884DC0" w:rsidRDefault="004D1834">
      <w:pPr>
        <w:ind w:left="720" w:hanging="360"/>
        <w:rPr>
          <w:rFonts w:ascii="Arial" w:hAnsi="Arial" w:cs="Arial"/>
        </w:rPr>
      </w:pPr>
      <w:r w:rsidRPr="00884DC0">
        <w:rPr>
          <w:rFonts w:ascii="Arial" w:hAnsi="Arial" w:cs="Arial"/>
        </w:rPr>
        <w:t>8.</w:t>
      </w:r>
      <w:r w:rsidRPr="00884DC0">
        <w:rPr>
          <w:rFonts w:ascii="Arial" w:hAnsi="Arial" w:cs="Arial"/>
        </w:rPr>
        <w:tab/>
        <w:t>Reporting and Record Keeping.  The Contractor shall report the results of the process control tests to the Engineer in writing at least once per day. The Contractor shall assemble a Quality Control (QC) notebook and update it daily.  This notebook shall contain all worksheets, test results forms, test results charts and quality level charts for each of the elements listed in Table 106-1.    The Contractor shall submit the QC notebook to the Engineer for review once a month on the date agreed to at the Pre-Paving Conference.  The QC notebook will be returned to the Contractor within one working day after submittal.  The Engineer will notify the Contractor in writing of any deficiencies in the QC notebook, including the failure to submit the notebook on time or an absence of the required reports. Upon the second failure to submit the complete QC notebook on time or with an absence of the required reports, the Engineer will notify the Contractor, and the pay estimate will be withheld until the Contractor submits, in writing, a report detailing the cause for the failure to submit the complete QC notebook on time or the cause for the absence of required reports.  The report shall include how the Contractor plans to resolve the failures. Additional failures to submit the QC notebook on time or absent the required reports will result in a delay of the pay estimate until the Contractor has identified and resolved the failure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process control work in progress, including QC notebook, sampling, testing, plants, and the Contractor’s testing facilities at any time.</w:t>
      </w:r>
    </w:p>
    <w:p w:rsidR="004D1834" w:rsidRPr="00884DC0" w:rsidRDefault="004D1834">
      <w:pPr>
        <w:widowControl w:val="0"/>
        <w:rPr>
          <w:rFonts w:ascii="Arial" w:hAnsi="Arial" w:cs="Arial"/>
        </w:rPr>
      </w:pPr>
    </w:p>
    <w:p w:rsidR="004D1834" w:rsidRPr="00884DC0" w:rsidRDefault="004D1834" w:rsidP="004D1834">
      <w:pPr>
        <w:widowControl w:val="0"/>
        <w:numPr>
          <w:ilvl w:val="0"/>
          <w:numId w:val="12"/>
        </w:numPr>
        <w:tabs>
          <w:tab w:val="left" w:pos="432"/>
        </w:tabs>
        <w:suppressAutoHyphens/>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QCP.  The Department will determine the locations where samples or measurements are to be taken and as designated in Section 403.  The maximum quantity of material represented by each test result and the minimum number of test results will be in accordance with Table 106</w:t>
      </w:r>
      <w:r w:rsidRPr="00884DC0">
        <w:rPr>
          <w:rFonts w:ascii="Arial" w:hAnsi="Arial" w:cs="Arial"/>
        </w:rPr>
        <w:noBreakHyphen/>
        <w:t xml:space="preserve">1.  The location or time of sampling will be based on a stratified random procedure.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t>
      </w:r>
      <w:r w:rsidRPr="00884DC0">
        <w:rPr>
          <w:rFonts w:ascii="Arial" w:hAnsi="Arial" w:cs="Arial"/>
        </w:rPr>
        <w:lastRenderedPageBreak/>
        <w:t>Where appropriate, the Contractor shall reduce each sample to the size designated by the Engineer. The Contractor may retain a split of each sample which cannot be included as part of the QCP.</w:t>
      </w:r>
    </w:p>
    <w:p w:rsidR="004D1834" w:rsidRPr="00884DC0" w:rsidRDefault="004D1834">
      <w:pPr>
        <w:widowControl w:val="0"/>
        <w:jc w:val="both"/>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rsidR="004D1834" w:rsidRPr="00884DC0" w:rsidRDefault="004D1834" w:rsidP="004D1834">
      <w:pPr>
        <w:rPr>
          <w:rFonts w:ascii="Arial" w:hAnsi="Arial" w:cs="Arial"/>
        </w:rPr>
      </w:pPr>
    </w:p>
    <w:p w:rsidR="004D1834" w:rsidRPr="00884DC0" w:rsidRDefault="004D1834">
      <w:pPr>
        <w:widowControl w:val="0"/>
        <w:rPr>
          <w:rFonts w:ascii="Arial" w:hAnsi="Arial" w:cs="Arial"/>
        </w:rPr>
      </w:pPr>
    </w:p>
    <w:p w:rsidR="004D1834" w:rsidRPr="00884DC0" w:rsidRDefault="004D1834" w:rsidP="004D1834">
      <w:pPr>
        <w:widowControl w:val="0"/>
        <w:numPr>
          <w:ilvl w:val="0"/>
          <w:numId w:val="11"/>
        </w:numPr>
        <w:suppressAutoHyphens/>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gravity, voids in the mineral aggregate, air voids, in-place density, and joint density in accordance with CP 13 of the Department’s Field Materials Manual.  The CTP will be continued until the acceptance and process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rsidR="004D1834" w:rsidRPr="00884DC0" w:rsidRDefault="004D1834">
      <w:pPr>
        <w:jc w:val="both"/>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During production a split sample check will be conducted at the frequency shown in Table 106-1.  The split samples will be from an acceptance sample obtained in accordance with subsection 106.05(b).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rsidR="004D1834" w:rsidRPr="00884DC0" w:rsidRDefault="004D1834">
      <w:pPr>
        <w:widowControl w:val="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rsidR="004D1834" w:rsidRPr="00884DC0" w:rsidRDefault="004D1834">
      <w:pPr>
        <w:widowControl w:val="0"/>
        <w:ind w:left="720"/>
        <w:rPr>
          <w:rFonts w:ascii="Arial" w:hAnsi="Arial" w:cs="Arial"/>
        </w:rPr>
      </w:pPr>
    </w:p>
    <w:p w:rsidR="004D1834" w:rsidRPr="00884DC0" w:rsidRDefault="004D1834" w:rsidP="004D1834">
      <w:pPr>
        <w:widowControl w:val="0"/>
        <w:numPr>
          <w:ilvl w:val="0"/>
          <w:numId w:val="14"/>
        </w:numPr>
        <w:suppressAutoHyphens/>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rsidR="004D1834" w:rsidRPr="00884DC0" w:rsidRDefault="004D1834">
      <w:pPr>
        <w:ind w:hanging="1"/>
        <w:jc w:val="both"/>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The test frequency shall be one per day unless altered by the Engineer.</w:t>
      </w:r>
    </w:p>
    <w:p w:rsidR="004D1834" w:rsidRPr="00884DC0" w:rsidRDefault="004D1834">
      <w:pPr>
        <w:ind w:left="1" w:hanging="1"/>
        <w:jc w:val="both"/>
        <w:rPr>
          <w:rFonts w:ascii="Arial" w:hAnsi="Arial" w:cs="Arial"/>
        </w:rPr>
      </w:pPr>
    </w:p>
    <w:p w:rsidR="004D1834" w:rsidRPr="00884DC0" w:rsidRDefault="004D1834">
      <w:pPr>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rsidR="004D1834" w:rsidRPr="00884DC0" w:rsidRDefault="004D1834">
      <w:pPr>
        <w:ind w:hanging="1"/>
        <w:jc w:val="both"/>
        <w:rPr>
          <w:rFonts w:ascii="Arial" w:hAnsi="Arial" w:cs="Arial"/>
        </w:rPr>
      </w:pPr>
    </w:p>
    <w:p w:rsidR="004D1834" w:rsidRPr="00884DC0" w:rsidRDefault="004D1834">
      <w:pPr>
        <w:ind w:left="720" w:hanging="360"/>
        <w:jc w:val="both"/>
        <w:rPr>
          <w:rFonts w:ascii="Arial" w:hAnsi="Arial" w:cs="Arial"/>
        </w:rPr>
      </w:pPr>
      <w:r w:rsidRPr="00884DC0">
        <w:rPr>
          <w:rFonts w:ascii="Arial" w:hAnsi="Arial" w:cs="Arial"/>
        </w:rPr>
        <w:t>1.</w:t>
      </w:r>
      <w:r w:rsidRPr="00884DC0">
        <w:rPr>
          <w:rFonts w:ascii="Arial" w:hAnsi="Arial" w:cs="Arial"/>
        </w:rPr>
        <w:tab/>
        <w:t>The minimum value for stability will be the minimum specified in Table 403-1 of the specifications.  There will be no tolerance limit.</w:t>
      </w:r>
    </w:p>
    <w:p w:rsidR="004D1834" w:rsidRPr="00884DC0" w:rsidRDefault="004D1834">
      <w:pPr>
        <w:ind w:hanging="1"/>
        <w:jc w:val="both"/>
        <w:rPr>
          <w:rFonts w:ascii="Arial" w:hAnsi="Arial" w:cs="Arial"/>
        </w:rPr>
      </w:pPr>
      <w:r w:rsidRPr="00884DC0">
        <w:rPr>
          <w:rFonts w:ascii="Arial" w:hAnsi="Arial" w:cs="Arial"/>
        </w:rPr>
        <w:tab/>
      </w:r>
    </w:p>
    <w:p w:rsidR="004D1834" w:rsidRPr="00884DC0" w:rsidRDefault="004D1834">
      <w:pPr>
        <w:ind w:hanging="1"/>
        <w:jc w:val="both"/>
        <w:rPr>
          <w:rFonts w:ascii="Arial" w:hAnsi="Arial" w:cs="Arial"/>
        </w:rPr>
      </w:pPr>
      <w:r w:rsidRPr="00884DC0">
        <w:rPr>
          <w:rFonts w:ascii="Arial" w:hAnsi="Arial" w:cs="Arial"/>
        </w:rPr>
        <w:tab/>
      </w:r>
      <w:r w:rsidRPr="00884DC0">
        <w:rPr>
          <w:rFonts w:ascii="Arial" w:hAnsi="Arial" w:cs="Arial"/>
        </w:rPr>
        <w:tab/>
        <w:t>2.</w:t>
      </w:r>
      <w:r w:rsidRPr="00884DC0">
        <w:rPr>
          <w:rFonts w:ascii="Arial" w:hAnsi="Arial" w:cs="Arial"/>
        </w:rPr>
        <w:tab/>
        <w:t>Quality Level.  Calculate a QL for stability.</w:t>
      </w:r>
    </w:p>
    <w:p w:rsidR="004D1834" w:rsidRPr="00884DC0" w:rsidRDefault="004D1834">
      <w:pPr>
        <w:ind w:hanging="1"/>
        <w:jc w:val="both"/>
        <w:rPr>
          <w:rFonts w:ascii="Arial" w:hAnsi="Arial" w:cs="Arial"/>
        </w:rPr>
      </w:pPr>
    </w:p>
    <w:p w:rsidR="004D1834" w:rsidRPr="00884DC0" w:rsidRDefault="004D1834">
      <w:pPr>
        <w:pStyle w:val="BodyTextIndent2"/>
        <w:ind w:left="721" w:hanging="1"/>
        <w:rPr>
          <w:rFonts w:cs="Arial"/>
        </w:rPr>
      </w:pPr>
      <w:r w:rsidRPr="00884DC0">
        <w:rPr>
          <w:rFonts w:cs="Arial"/>
        </w:rPr>
        <w:t>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rsidR="004D1834" w:rsidRPr="00884DC0" w:rsidRDefault="004D1834">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
    <w:p w:rsidR="004D1834" w:rsidRPr="00884DC0" w:rsidRDefault="004D1834">
      <w:pPr>
        <w:pStyle w:val="BodyTextIndent3"/>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rsidR="004D1834" w:rsidRPr="00884DC0" w:rsidRDefault="004D1834">
      <w:pPr>
        <w:pStyle w:val="BodyTextIndent3"/>
        <w:ind w:left="0" w:hanging="1"/>
        <w:rPr>
          <w:rFonts w:ascii="Arial" w:hAnsi="Arial" w:cs="Arial"/>
          <w:sz w:val="20"/>
        </w:rPr>
      </w:pPr>
    </w:p>
    <w:p w:rsidR="004D1834" w:rsidRPr="00884DC0" w:rsidRDefault="004D1834">
      <w:pPr>
        <w:pStyle w:val="BodyTextIndent3"/>
        <w:ind w:left="718" w:hanging="1"/>
        <w:rPr>
          <w:rFonts w:ascii="Arial" w:hAnsi="Arial" w:cs="Arial"/>
          <w:sz w:val="20"/>
        </w:rPr>
      </w:pPr>
      <w:r w:rsidRPr="00884DC0">
        <w:rPr>
          <w:rFonts w:ascii="Arial" w:hAnsi="Arial" w:cs="Arial"/>
          <w:sz w:val="20"/>
        </w:rPr>
        <w:lastRenderedPageBreak/>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rsidR="004D1834" w:rsidRPr="00884DC0" w:rsidRDefault="004D1834">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r w:rsidRPr="00884DC0">
        <w:rPr>
          <w:rFonts w:ascii="Arial" w:hAnsi="Arial" w:cs="Arial"/>
        </w:rPr>
        <w:tab/>
      </w:r>
      <w:r w:rsidRPr="00884DC0">
        <w:rPr>
          <w:rFonts w:ascii="Arial" w:hAnsi="Arial" w:cs="Arial"/>
        </w:rPr>
        <w:tab/>
      </w:r>
      <w:r w:rsidRPr="00884DC0">
        <w:rPr>
          <w:rFonts w:ascii="Arial" w:hAnsi="Arial" w:cs="Arial"/>
        </w:rPr>
        <w:tab/>
      </w:r>
    </w:p>
    <w:p w:rsidR="004D1834" w:rsidRPr="00884DC0" w:rsidRDefault="004D1834">
      <w:pPr>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rsidR="004D1834" w:rsidRPr="00884DC0" w:rsidRDefault="004D1834">
      <w:pPr>
        <w:ind w:hanging="1"/>
        <w:jc w:val="both"/>
        <w:rPr>
          <w:rFonts w:ascii="Arial" w:hAnsi="Arial" w:cs="Arial"/>
        </w:rPr>
      </w:pPr>
      <w:r w:rsidRPr="00884DC0">
        <w:rPr>
          <w:rFonts w:ascii="Arial" w:hAnsi="Arial" w:cs="Arial"/>
        </w:rPr>
        <w:t xml:space="preserve"> </w:t>
      </w:r>
    </w:p>
    <w:p w:rsidR="004D1834" w:rsidRPr="00884DC0" w:rsidRDefault="004D1834">
      <w:pPr>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w:t>
      </w:r>
      <w:proofErr w:type="gramStart"/>
      <w:r w:rsidRPr="00884DC0">
        <w:rPr>
          <w:rFonts w:ascii="Arial" w:hAnsi="Arial" w:cs="Arial"/>
        </w:rPr>
        <w:t>,</w:t>
      </w:r>
      <w:proofErr w:type="gramEnd"/>
      <w:r w:rsidRPr="00884DC0">
        <w:rPr>
          <w:rFonts w:ascii="Arial" w:hAnsi="Arial" w:cs="Arial"/>
        </w:rPr>
        <w:t xml:space="preserve"> the sample frequency will revert back to 1/10,000 tons.</w:t>
      </w:r>
    </w:p>
    <w:p w:rsidR="004D1834" w:rsidRPr="00884DC0" w:rsidRDefault="004D1834">
      <w:pPr>
        <w:widowControl w:val="0"/>
        <w:ind w:hanging="1"/>
        <w:rPr>
          <w:rFonts w:ascii="Arial" w:hAnsi="Arial" w:cs="Arial"/>
        </w:rPr>
      </w:pPr>
    </w:p>
    <w:p w:rsidR="004D1834" w:rsidRPr="00884DC0" w:rsidRDefault="004D1834" w:rsidP="004D1834">
      <w:pPr>
        <w:widowControl w:val="0"/>
        <w:numPr>
          <w:ilvl w:val="0"/>
          <w:numId w:val="14"/>
        </w:numPr>
        <w:suppressAutoHyphens/>
        <w:rPr>
          <w:rFonts w:ascii="Arial" w:hAnsi="Arial" w:cs="Arial"/>
        </w:rPr>
      </w:pPr>
      <w:r w:rsidRPr="00884DC0">
        <w:rPr>
          <w:rFonts w:ascii="Arial" w:hAnsi="Arial" w:cs="Arial"/>
          <w:bCs/>
          <w:i/>
          <w:iCs/>
        </w:rPr>
        <w:t>Target Values for VMA.</w:t>
      </w:r>
      <w:r w:rsidRPr="00884DC0">
        <w:rPr>
          <w:rFonts w:ascii="Arial" w:hAnsi="Arial" w:cs="Arial"/>
        </w:rPr>
        <w:t xml:space="preserve">  After the mix design has been approved and production commences, the first three </w:t>
      </w:r>
      <w:r w:rsidRPr="00884DC0">
        <w:rPr>
          <w:rFonts w:ascii="Arial" w:hAnsi="Arial" w:cs="Arial"/>
          <w:bCs/>
          <w:i/>
          <w:iCs/>
        </w:rPr>
        <w:t>acceptance</w:t>
      </w:r>
      <w:r w:rsidRPr="00884DC0">
        <w:rPr>
          <w:rFonts w:ascii="Arial" w:hAnsi="Arial" w:cs="Arial"/>
        </w:rPr>
        <w:t xml:space="preserve"> tests for Voids in Mineral Aggregate (VMA) will be analyzed to verify and establish a target value for VMA.  The Contractor shall make adjustments if required in accordance with the following:  The target value for VMA will be the average of the first three volumetric field verification test results on project produced hot mix asphalt or the target value specified in Table 403-1 and Table 403-2 of the specifications, whichever is higher.  The target value for VMA will be set no lower than 1.0 percent below the VMA target on original Form 43.</w:t>
      </w:r>
    </w:p>
    <w:p w:rsidR="004D1834" w:rsidRPr="00884DC0" w:rsidRDefault="004D1834">
      <w:pPr>
        <w:widowControl w:val="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Whenever a new or revised mix design is used and production resumes, the next three acceptance tests will be evaluated and a target value for VMA will be established in accordance with the above requirements.</w:t>
      </w:r>
    </w:p>
    <w:p w:rsidR="004D1834" w:rsidRPr="00884DC0" w:rsidRDefault="004D1834">
      <w:pPr>
        <w:widowControl w:val="0"/>
        <w:rPr>
          <w:rFonts w:ascii="Arial" w:hAnsi="Arial" w:cs="Arial"/>
        </w:rPr>
      </w:pPr>
    </w:p>
    <w:p w:rsidR="004D1834" w:rsidRPr="00884DC0" w:rsidRDefault="004D1834" w:rsidP="004D1834">
      <w:pPr>
        <w:widowControl w:val="0"/>
        <w:numPr>
          <w:ilvl w:val="0"/>
          <w:numId w:val="14"/>
        </w:numPr>
        <w:suppressAutoHyphens/>
        <w:rPr>
          <w:rFonts w:ascii="Arial" w:hAnsi="Arial" w:cs="Arial"/>
        </w:rPr>
      </w:pPr>
      <w:r w:rsidRPr="00884DC0">
        <w:rPr>
          <w:rFonts w:ascii="Arial" w:hAnsi="Arial" w:cs="Arial"/>
          <w:bCs/>
          <w:i/>
          <w:iCs/>
        </w:rPr>
        <w:t>Independent Assurance Testing.</w:t>
      </w:r>
      <w:r w:rsidRPr="00884DC0">
        <w:rPr>
          <w:rFonts w:ascii="Arial" w:hAnsi="Arial" w:cs="Arial"/>
          <w:b/>
        </w:rPr>
        <w:t xml:space="preserve">  </w:t>
      </w:r>
      <w:r w:rsidRPr="00884DC0">
        <w:rPr>
          <w:rFonts w:ascii="Arial" w:hAnsi="Arial" w:cs="Arial"/>
        </w:rPr>
        <w:t xml:space="preserve">Independent assurance testing for Asphalt Content and In-Place Density will be in accordance with the Department’s Field Materials Manual.  </w:t>
      </w:r>
      <w:r w:rsidRPr="00884DC0">
        <w:rPr>
          <w:rFonts w:ascii="Arial" w:hAnsi="Arial" w:cs="Arial"/>
          <w:b/>
        </w:rPr>
        <w:t xml:space="preserve">  </w:t>
      </w:r>
      <w:r w:rsidRPr="00884DC0">
        <w:rPr>
          <w:rFonts w:ascii="Arial" w:hAnsi="Arial" w:cs="Arial"/>
        </w:rPr>
        <w:t xml:space="preserve">Independent assurance testing for </w:t>
      </w:r>
      <w:r w:rsidRPr="00884DC0">
        <w:rPr>
          <w:rFonts w:ascii="Arial" w:hAnsi="Arial" w:cs="Arial"/>
          <w:bCs/>
          <w:i/>
          <w:iCs/>
        </w:rPr>
        <w:t>Voids</w:t>
      </w:r>
      <w:r w:rsidRPr="00884DC0">
        <w:rPr>
          <w:rFonts w:ascii="Arial" w:hAnsi="Arial" w:cs="Arial"/>
        </w:rPr>
        <w:t xml:space="preserve"> in the Mineral Aggregate and Air Voids will be performed by the Department’s Flexible Pavement laboratory on samples sent from the field at a frequency of one per 10 000 tons.</w:t>
      </w:r>
    </w:p>
    <w:p w:rsidR="004D1834" w:rsidRPr="00884DC0" w:rsidRDefault="004D1834">
      <w:pPr>
        <w:widowControl w:val="0"/>
        <w:rPr>
          <w:rFonts w:ascii="Arial" w:hAnsi="Arial" w:cs="Arial"/>
        </w:rPr>
      </w:pPr>
    </w:p>
    <w:p w:rsidR="004D1834" w:rsidRPr="00884DC0" w:rsidRDefault="004D1834" w:rsidP="004D1834">
      <w:pPr>
        <w:widowControl w:val="0"/>
        <w:numPr>
          <w:ilvl w:val="0"/>
          <w:numId w:val="14"/>
        </w:numPr>
        <w:suppressAutoHyphens/>
        <w:rPr>
          <w:rFonts w:ascii="Arial" w:hAnsi="Arial" w:cs="Arial"/>
        </w:rPr>
      </w:pPr>
      <w:r w:rsidRPr="00884DC0">
        <w:rPr>
          <w:rFonts w:ascii="Arial" w:hAnsi="Arial" w:cs="Arial"/>
          <w:bCs/>
          <w:i/>
          <w:iCs/>
        </w:rPr>
        <w:t>Reference Conditions.</w:t>
      </w:r>
      <w:r w:rsidRPr="00884DC0">
        <w:rPr>
          <w:rFonts w:ascii="Arial" w:hAnsi="Arial" w:cs="Arial"/>
        </w:rPr>
        <w:t xml:space="preserve">  Three reference conditions can exist determined by the Moving Quality Level (MQL). The </w:t>
      </w:r>
      <w:r w:rsidRPr="00884DC0">
        <w:rPr>
          <w:rFonts w:ascii="Arial" w:hAnsi="Arial" w:cs="Arial"/>
          <w:bCs/>
          <w:i/>
          <w:iCs/>
        </w:rPr>
        <w:t>MQL</w:t>
      </w:r>
      <w:r w:rsidRPr="00884DC0">
        <w:rPr>
          <w:rFonts w:ascii="Arial" w:hAnsi="Arial" w:cs="Arial"/>
        </w:rPr>
        <w:t xml:space="preserve"> will be calculated in accordance with the procedure in CP 71 for Determining Quality Level (QL). The MQL will be calculated using only acceptance tests.  The MQL will be calculated on tests 1 through 3, then tests 1 through 4, </w:t>
      </w:r>
      <w:proofErr w:type="gramStart"/>
      <w:r w:rsidRPr="00884DC0">
        <w:rPr>
          <w:rFonts w:ascii="Arial" w:hAnsi="Arial" w:cs="Arial"/>
        </w:rPr>
        <w:t>then</w:t>
      </w:r>
      <w:proofErr w:type="gramEnd"/>
      <w:r w:rsidRPr="00884DC0">
        <w:rPr>
          <w:rFonts w:ascii="Arial" w:hAnsi="Arial" w:cs="Arial"/>
        </w:rPr>
        <w:t xml:space="preserve"> tests 1 through 5, then thereafter on the last five consecutive test results.  The MQL will not be used to determine pay factors.  The three reference conditions and actions that will be taken are described as follows:</w:t>
      </w:r>
    </w:p>
    <w:p w:rsidR="004D1834" w:rsidRPr="00884DC0" w:rsidRDefault="004D1834">
      <w:pPr>
        <w:widowControl w:val="0"/>
        <w:rPr>
          <w:rFonts w:ascii="Arial" w:hAnsi="Arial" w:cs="Arial"/>
        </w:rPr>
      </w:pPr>
    </w:p>
    <w:p w:rsidR="004D1834" w:rsidRPr="00884DC0" w:rsidRDefault="004D1834">
      <w:pPr>
        <w:pStyle w:val="BodyTextIndent3"/>
        <w:ind w:left="720"/>
        <w:rPr>
          <w:rFonts w:ascii="Arial" w:hAnsi="Arial" w:cs="Arial"/>
          <w:sz w:val="20"/>
        </w:rPr>
      </w:pPr>
      <w:r w:rsidRPr="00884DC0">
        <w:rPr>
          <w:rFonts w:ascii="Arial" w:hAnsi="Arial" w:cs="Arial"/>
          <w:sz w:val="20"/>
        </w:rPr>
        <w:t>1.</w:t>
      </w:r>
      <w:r w:rsidRPr="00884DC0">
        <w:rPr>
          <w:rFonts w:ascii="Arial" w:hAnsi="Arial" w:cs="Arial"/>
          <w:sz w:val="20"/>
        </w:rPr>
        <w:tab/>
        <w:t>Condition green will exist for an element when an MQL of 90 or greater is reached, or maintained, and the past five consecutive test results are within the specification limits.</w:t>
      </w:r>
    </w:p>
    <w:p w:rsidR="004D1834" w:rsidRPr="00884DC0" w:rsidRDefault="004D1834">
      <w:pPr>
        <w:widowControl w:val="0"/>
        <w:rPr>
          <w:rFonts w:ascii="Arial" w:hAnsi="Arial" w:cs="Arial"/>
        </w:rPr>
      </w:pPr>
    </w:p>
    <w:p w:rsidR="004D1834" w:rsidRPr="00884DC0" w:rsidRDefault="004D1834">
      <w:pPr>
        <w:pStyle w:val="BodyTextIndent3"/>
        <w:ind w:left="720"/>
        <w:rPr>
          <w:rFonts w:ascii="Arial" w:hAnsi="Arial" w:cs="Arial"/>
          <w:sz w:val="20"/>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4D1834" w:rsidRPr="00884DC0" w:rsidRDefault="004D1834">
      <w:pPr>
        <w:widowControl w:val="0"/>
        <w:rPr>
          <w:rFonts w:ascii="Arial" w:hAnsi="Arial" w:cs="Arial"/>
        </w:rPr>
      </w:pPr>
    </w:p>
    <w:p w:rsidR="004D1834" w:rsidRPr="00884DC0" w:rsidRDefault="004D1834">
      <w:pPr>
        <w:widowControl w:val="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w:t>
      </w:r>
      <w:proofErr w:type="gramStart"/>
      <w:r w:rsidRPr="00884DC0">
        <w:rPr>
          <w:rFonts w:ascii="Arial" w:hAnsi="Arial" w:cs="Arial"/>
        </w:rPr>
        <w:t>tons  until</w:t>
      </w:r>
      <w:proofErr w:type="gramEnd"/>
      <w:r w:rsidRPr="00884DC0">
        <w:rPr>
          <w:rFonts w:ascii="Arial" w:hAnsi="Arial" w:cs="Arial"/>
        </w:rPr>
        <w:t xml:space="preserve"> the process control QL reaches or exceeds 78.  If the QL for the next five process control tests is below 65, production will be suspended.</w:t>
      </w:r>
    </w:p>
    <w:p w:rsidR="004D1834" w:rsidRPr="00884DC0" w:rsidRDefault="004D1834">
      <w:pPr>
        <w:widowControl w:val="0"/>
        <w:rPr>
          <w:rFonts w:ascii="Arial" w:hAnsi="Arial" w:cs="Arial"/>
        </w:rPr>
      </w:pPr>
    </w:p>
    <w:p w:rsidR="004D1834" w:rsidRPr="00884DC0" w:rsidRDefault="004D1834">
      <w:pPr>
        <w:widowControl w:val="0"/>
        <w:ind w:left="720"/>
        <w:rPr>
          <w:rFonts w:ascii="Arial" w:hAnsi="Arial" w:cs="Arial"/>
        </w:rPr>
      </w:pPr>
      <w:r w:rsidRPr="00884DC0">
        <w:rPr>
          <w:rFonts w:ascii="Arial" w:hAnsi="Arial" w:cs="Arial"/>
        </w:rPr>
        <w:t>After condition red exists, a new MQL will be started.  Acceptance testing will stay at the frequency shown in Table 106</w:t>
      </w:r>
      <w:r w:rsidRPr="00884DC0">
        <w:rPr>
          <w:rFonts w:ascii="Arial" w:hAnsi="Arial" w:cs="Arial"/>
        </w:rPr>
        <w:noBreakHyphen/>
        <w:t>1.  After three acceptance tests, if the MQL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4D1834" w:rsidRPr="00884DC0" w:rsidRDefault="004D1834">
      <w:pPr>
        <w:widowControl w:val="0"/>
        <w:rPr>
          <w:rFonts w:ascii="Arial" w:hAnsi="Arial" w:cs="Arial"/>
        </w:rPr>
      </w:pPr>
    </w:p>
    <w:p w:rsidR="004D1834" w:rsidRPr="00884DC0" w:rsidRDefault="004D1834">
      <w:pPr>
        <w:widowControl w:val="0"/>
        <w:ind w:left="720"/>
        <w:rPr>
          <w:rFonts w:ascii="Arial" w:hAnsi="Arial" w:cs="Arial"/>
        </w:rPr>
      </w:pPr>
      <w:r w:rsidRPr="00884DC0">
        <w:rPr>
          <w:rFonts w:ascii="Arial" w:hAnsi="Arial" w:cs="Arial"/>
        </w:rPr>
        <w:lastRenderedPageBreak/>
        <w:t>Upon resuming production, the process control sampling and testing frequency for the elements causing the condition red shall remain at 1/250 tons.  If the QL for the next five process control tests is below 65, production will be suspended again.</w:t>
      </w:r>
    </w:p>
    <w:p w:rsidR="004D1834" w:rsidRPr="00884DC0" w:rsidRDefault="004D1834">
      <w:pPr>
        <w:widowControl w:val="0"/>
        <w:ind w:left="1080"/>
        <w:rPr>
          <w:rFonts w:ascii="Arial" w:hAnsi="Arial" w:cs="Arial"/>
        </w:rPr>
      </w:pPr>
    </w:p>
    <w:p w:rsidR="004D1834" w:rsidRPr="00884DC0" w:rsidRDefault="004D1834" w:rsidP="004D1834">
      <w:pPr>
        <w:widowControl w:val="0"/>
        <w:numPr>
          <w:ilvl w:val="0"/>
          <w:numId w:val="14"/>
        </w:numPr>
        <w:suppressAutoHyphens/>
        <w:rPr>
          <w:rFonts w:ascii="Arial" w:hAnsi="Arial" w:cs="Arial"/>
        </w:rPr>
      </w:pPr>
      <w:r w:rsidRPr="00884DC0">
        <w:rPr>
          <w:rFonts w:ascii="Arial" w:hAnsi="Arial" w:cs="Arial"/>
          <w:bCs/>
          <w:i/>
          <w:iCs/>
        </w:rPr>
        <w:t>Correction Factor.</w:t>
      </w:r>
      <w:r w:rsidRPr="00884DC0">
        <w:rPr>
          <w:rFonts w:ascii="Arial" w:hAnsi="Arial" w:cs="Arial"/>
        </w:rPr>
        <w:t xml:space="preserve">  In determining the air voids and VMA in the materials compacted with the SuperPave Gyratory </w:t>
      </w:r>
      <w:r w:rsidRPr="00884DC0">
        <w:rPr>
          <w:rFonts w:ascii="Arial" w:hAnsi="Arial" w:cs="Arial"/>
          <w:bCs/>
          <w:i/>
          <w:iCs/>
        </w:rPr>
        <w:t>Compactor</w:t>
      </w:r>
      <w:r w:rsidRPr="00884DC0">
        <w:rPr>
          <w:rFonts w:ascii="Arial" w:hAnsi="Arial" w:cs="Arial"/>
        </w:rPr>
        <w:t xml:space="preserve"> (SGC), the following correction for bulk specific gravity shall be performed during the CTP:</w:t>
      </w:r>
    </w:p>
    <w:p w:rsidR="004D1834" w:rsidRPr="00884DC0" w:rsidRDefault="004D1834">
      <w:pPr>
        <w:widowControl w:val="0"/>
        <w:ind w:left="720" w:hanging="360"/>
        <w:rPr>
          <w:rFonts w:ascii="Arial" w:hAnsi="Arial" w:cs="Arial"/>
        </w:rPr>
      </w:pPr>
    </w:p>
    <w:p w:rsidR="004D1834" w:rsidRPr="00884DC0" w:rsidRDefault="004D1834">
      <w:pPr>
        <w:widowControl w:val="0"/>
        <w:ind w:left="720" w:hanging="360"/>
        <w:rPr>
          <w:rFonts w:ascii="Arial" w:hAnsi="Arial" w:cs="Arial"/>
        </w:rPr>
      </w:pPr>
      <w:r w:rsidRPr="00884DC0">
        <w:rPr>
          <w:rFonts w:ascii="Arial" w:hAnsi="Arial" w:cs="Arial"/>
        </w:rPr>
        <w:t>1.</w:t>
      </w:r>
      <w:r w:rsidRPr="00884DC0">
        <w:rPr>
          <w:rFonts w:ascii="Arial" w:hAnsi="Arial" w:cs="Arial"/>
        </w:rPr>
        <w:tab/>
        <w:t xml:space="preserve">The difference in the average value of bulk specific gravity between the process control testing SGC and acceptance testing SGC will be determined and used as a correction factor for the process control bulk specific gravity.  </w:t>
      </w:r>
    </w:p>
    <w:p w:rsidR="004D1834" w:rsidRPr="00884DC0" w:rsidRDefault="004D1834">
      <w:pPr>
        <w:widowControl w:val="0"/>
        <w:ind w:left="720" w:hanging="360"/>
        <w:rPr>
          <w:rFonts w:ascii="Arial" w:hAnsi="Arial" w:cs="Arial"/>
        </w:rPr>
      </w:pPr>
    </w:p>
    <w:p w:rsidR="004D1834" w:rsidRPr="00884DC0" w:rsidRDefault="004D1834">
      <w:pPr>
        <w:widowControl w:val="0"/>
        <w:ind w:left="720" w:hanging="360"/>
        <w:rPr>
          <w:rFonts w:ascii="Arial" w:hAnsi="Arial" w:cs="Arial"/>
        </w:rPr>
      </w:pPr>
      <w:r w:rsidRPr="00884DC0">
        <w:rPr>
          <w:rFonts w:ascii="Arial" w:hAnsi="Arial" w:cs="Arial"/>
        </w:rPr>
        <w:t>2.</w:t>
      </w:r>
      <w:r w:rsidRPr="00884DC0">
        <w:rPr>
          <w:rFonts w:ascii="Arial" w:hAnsi="Arial" w:cs="Arial"/>
        </w:rPr>
        <w:tab/>
        <w:t>This correction factor shall be used to correlate the process control SGC to the acceptance testing SGC for comparison of air voids and VMA during the CTP and full project production.  Values in Table 13-1 of CP 13 apply to SGC comparison after correction factor has been applied.</w:t>
      </w:r>
    </w:p>
    <w:p w:rsidR="004D1834" w:rsidRPr="00884DC0" w:rsidRDefault="004D1834">
      <w:pPr>
        <w:widowControl w:val="0"/>
        <w:ind w:left="720" w:hanging="360"/>
        <w:rPr>
          <w:rFonts w:ascii="Arial" w:hAnsi="Arial" w:cs="Arial"/>
        </w:rPr>
      </w:pPr>
    </w:p>
    <w:p w:rsidR="004D1834" w:rsidRPr="00884DC0" w:rsidRDefault="004D1834">
      <w:pPr>
        <w:widowControl w:val="0"/>
        <w:ind w:left="720" w:hanging="360"/>
        <w:rPr>
          <w:rFonts w:ascii="Arial" w:hAnsi="Arial" w:cs="Arial"/>
        </w:rPr>
      </w:pPr>
      <w:r w:rsidRPr="00884DC0">
        <w:rPr>
          <w:rFonts w:ascii="Arial" w:hAnsi="Arial" w:cs="Arial"/>
        </w:rPr>
        <w:t>3.</w:t>
      </w:r>
      <w:r w:rsidRPr="00884DC0">
        <w:rPr>
          <w:rFonts w:ascii="Arial" w:hAnsi="Arial" w:cs="Arial"/>
        </w:rPr>
        <w:tab/>
        <w:t>This correction factor shall be applied in correlating the SGC’s air voids and VMA test results from process control and acceptance testing to produce comparable data.  Any changes in SGC equipment or in the mix design properties, specifically the number of gyrations, asphalt binder grade, aggregate gradation, combination of aggregates, and aggregate sources shall require a new correction factor to be determined under a CTP.</w:t>
      </w:r>
    </w:p>
    <w:p w:rsidR="004D1834" w:rsidRPr="00884DC0" w:rsidRDefault="004D1834">
      <w:pPr>
        <w:widowControl w:val="0"/>
        <w:ind w:left="1080" w:hanging="36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Example:  If for the five CTP tests on split samples the process control SGC averages bulk specific gravity of 2.391 and the acceptance SGC averages 2.382, the correction factor would be –0.009 (2.382-2.391) to the process control bulk specific gravities. Each of the five process control CTP bulks would be decreased by 0.009 before CTP result comparison of voids and VMA is made.  If the volumetric results satisfy Table 13-1 of CP 13, use corrected bulks to calculate voids and VMA for process control testing program.</w:t>
      </w:r>
    </w:p>
    <w:p w:rsidR="004D1834" w:rsidRPr="00884DC0" w:rsidRDefault="004D1834">
      <w:pPr>
        <w:widowControl w:val="0"/>
        <w:ind w:left="360"/>
        <w:rPr>
          <w:rFonts w:ascii="Arial" w:hAnsi="Arial" w:cs="Arial"/>
        </w:rPr>
      </w:pPr>
    </w:p>
    <w:p w:rsidR="004D1834" w:rsidRPr="00884DC0" w:rsidRDefault="004D1834">
      <w:pPr>
        <w:widowControl w:val="0"/>
        <w:ind w:left="360"/>
        <w:rPr>
          <w:rFonts w:ascii="Arial" w:hAnsi="Arial" w:cs="Arial"/>
        </w:rPr>
      </w:pPr>
      <w:r w:rsidRPr="00884DC0">
        <w:rPr>
          <w:rFonts w:ascii="Arial" w:hAnsi="Arial" w:cs="Arial"/>
        </w:rPr>
        <w:t>If process control and acceptance SGCs are not from the same equipment manufacturer, project-specific material shall be used to perform the CTP and generate the correction factor.</w:t>
      </w:r>
    </w:p>
    <w:p w:rsidR="004D1834" w:rsidRPr="00884DC0" w:rsidRDefault="004D1834">
      <w:pPr>
        <w:pageBreakBefore/>
        <w:widowControl w:val="0"/>
        <w:ind w:left="360"/>
        <w:rPr>
          <w:rFonts w:ascii="Arial" w:hAnsi="Arial" w:cs="Arial"/>
        </w:rPr>
      </w:pPr>
    </w:p>
    <w:p w:rsidR="004D1834" w:rsidRPr="00884DC0" w:rsidRDefault="004D1834">
      <w:pPr>
        <w:widowControl w:val="0"/>
        <w:rPr>
          <w:rFonts w:ascii="Arial" w:hAnsi="Arial" w:cs="Arial"/>
        </w:rPr>
      </w:pPr>
    </w:p>
    <w:p w:rsidR="004D1834" w:rsidRPr="00884DC0" w:rsidRDefault="004D1834">
      <w:pPr>
        <w:widowControl w:val="0"/>
        <w:jc w:val="center"/>
        <w:rPr>
          <w:rFonts w:ascii="Arial" w:hAnsi="Arial" w:cs="Arial"/>
          <w:b/>
        </w:rPr>
      </w:pPr>
      <w:r w:rsidRPr="00884DC0">
        <w:rPr>
          <w:rFonts w:ascii="Arial" w:hAnsi="Arial" w:cs="Arial"/>
          <w:b/>
        </w:rPr>
        <w:t>Table 106</w:t>
      </w:r>
      <w:r w:rsidRPr="00884DC0">
        <w:rPr>
          <w:rFonts w:ascii="Arial" w:hAnsi="Arial" w:cs="Arial"/>
          <w:b/>
        </w:rPr>
        <w:noBreakHyphen/>
        <w:t>1</w:t>
      </w:r>
    </w:p>
    <w:p w:rsidR="004D1834" w:rsidRPr="00884DC0" w:rsidRDefault="004D1834">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1834" w:rsidRPr="00884DC0">
        <w:trPr>
          <w:cantSplit/>
          <w:trHeight w:val="360"/>
        </w:trPr>
        <w:tc>
          <w:tcPr>
            <w:tcW w:w="3459" w:type="dxa"/>
            <w:tcBorders>
              <w:top w:val="double" w:sz="1" w:space="0" w:color="000000"/>
              <w:left w:val="double" w:sz="1" w:space="0" w:color="000000"/>
              <w:bottom w:val="single" w:sz="4"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Element</w:t>
            </w:r>
          </w:p>
        </w:tc>
        <w:tc>
          <w:tcPr>
            <w:tcW w:w="2250" w:type="dxa"/>
            <w:tcBorders>
              <w:top w:val="double" w:sz="1" w:space="0" w:color="000000"/>
              <w:left w:val="single" w:sz="4" w:space="0" w:color="000000"/>
              <w:bottom w:val="single" w:sz="4"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Process Control</w:t>
            </w:r>
          </w:p>
        </w:tc>
        <w:tc>
          <w:tcPr>
            <w:tcW w:w="2340" w:type="dxa"/>
            <w:tcBorders>
              <w:top w:val="double" w:sz="1" w:space="0" w:color="000000"/>
              <w:left w:val="single" w:sz="4" w:space="0" w:color="000000"/>
              <w:bottom w:val="single" w:sz="4" w:space="0" w:color="000000"/>
            </w:tcBorders>
            <w:vAlign w:val="center"/>
          </w:tcPr>
          <w:p w:rsidR="004D1834" w:rsidRPr="00884DC0" w:rsidRDefault="004D1834">
            <w:pPr>
              <w:widowControl w:val="0"/>
              <w:snapToGrid w:val="0"/>
              <w:jc w:val="center"/>
              <w:rPr>
                <w:rFonts w:ascii="Arial" w:hAnsi="Arial" w:cs="Arial"/>
                <w:bCs/>
                <w:vertAlign w:val="superscript"/>
              </w:rPr>
            </w:pPr>
            <w:r w:rsidRPr="00884DC0">
              <w:rPr>
                <w:rFonts w:ascii="Arial" w:hAnsi="Arial" w:cs="Arial"/>
                <w:b/>
              </w:rPr>
              <w:t>Acceptance</w:t>
            </w:r>
            <w:r w:rsidRPr="00884DC0">
              <w:rPr>
                <w:rFonts w:ascii="Arial" w:hAnsi="Arial" w:cs="Arial"/>
                <w:bCs/>
                <w:vertAlign w:val="superscript"/>
              </w:rPr>
              <w:t>3</w:t>
            </w:r>
          </w:p>
        </w:tc>
        <w:tc>
          <w:tcPr>
            <w:tcW w:w="2166" w:type="dxa"/>
            <w:tcBorders>
              <w:top w:val="double" w:sz="1" w:space="0" w:color="000000"/>
              <w:left w:val="single" w:sz="4" w:space="0" w:color="000000"/>
              <w:bottom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b/>
              </w:rPr>
            </w:pPr>
            <w:r w:rsidRPr="00884DC0">
              <w:rPr>
                <w:rFonts w:ascii="Arial" w:hAnsi="Arial" w:cs="Arial"/>
                <w:b/>
              </w:rPr>
              <w:t>Check (CTP)</w:t>
            </w:r>
          </w:p>
        </w:tc>
      </w:tr>
      <w:tr w:rsidR="004D1834" w:rsidRPr="00884DC0">
        <w:trPr>
          <w:cantSplit/>
          <w:trHeight w:val="360"/>
        </w:trPr>
        <w:tc>
          <w:tcPr>
            <w:tcW w:w="3459"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Determining Asphalt Content of Hot Bituminous Mixtures</w:t>
            </w:r>
          </w:p>
        </w:tc>
        <w:tc>
          <w:tcPr>
            <w:tcW w:w="225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1/500 tons</w:t>
            </w:r>
          </w:p>
        </w:tc>
        <w:tc>
          <w:tcPr>
            <w:tcW w:w="234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r>
      <w:tr w:rsidR="004D1834" w:rsidRPr="00884DC0">
        <w:trPr>
          <w:cantSplit/>
          <w:trHeight w:val="360"/>
        </w:trPr>
        <w:tc>
          <w:tcPr>
            <w:tcW w:w="3459" w:type="dxa"/>
            <w:tcBorders>
              <w:left w:val="double" w:sz="1" w:space="0" w:color="000000"/>
            </w:tcBorders>
            <w:vAlign w:val="center"/>
          </w:tcPr>
          <w:p w:rsidR="004D1834" w:rsidRPr="00884DC0" w:rsidRDefault="004D1834">
            <w:pPr>
              <w:widowControl w:val="0"/>
              <w:snapToGrid w:val="0"/>
              <w:rPr>
                <w:rFonts w:ascii="Arial" w:hAnsi="Arial" w:cs="Arial"/>
              </w:rPr>
            </w:pPr>
            <w:proofErr w:type="spellStart"/>
            <w:r w:rsidRPr="00884DC0">
              <w:rPr>
                <w:rFonts w:ascii="Arial" w:hAnsi="Arial" w:cs="Arial"/>
              </w:rPr>
              <w:t>Theorectical</w:t>
            </w:r>
            <w:proofErr w:type="spellEnd"/>
            <w:r w:rsidRPr="00884DC0">
              <w:rPr>
                <w:rFonts w:ascii="Arial" w:hAnsi="Arial" w:cs="Arial"/>
              </w:rPr>
              <w:t xml:space="preserve"> Maximum Specific Gravity</w:t>
            </w:r>
          </w:p>
        </w:tc>
        <w:tc>
          <w:tcPr>
            <w:tcW w:w="225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 tons, minimum 1/day</w:t>
            </w:r>
          </w:p>
        </w:tc>
        <w:tc>
          <w:tcPr>
            <w:tcW w:w="234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 tons, minimum 1/day</w:t>
            </w:r>
          </w:p>
        </w:tc>
        <w:tc>
          <w:tcPr>
            <w:tcW w:w="2166"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r>
      <w:tr w:rsidR="004D1834" w:rsidRPr="00884DC0">
        <w:trPr>
          <w:cantSplit/>
          <w:trHeight w:val="360"/>
        </w:trPr>
        <w:tc>
          <w:tcPr>
            <w:tcW w:w="3459"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Voids in the Mineral Aggregate</w:t>
            </w:r>
          </w:p>
        </w:tc>
        <w:tc>
          <w:tcPr>
            <w:tcW w:w="225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r>
      <w:tr w:rsidR="004D1834" w:rsidRPr="00884DC0">
        <w:trPr>
          <w:cantSplit/>
          <w:trHeight w:val="360"/>
        </w:trPr>
        <w:tc>
          <w:tcPr>
            <w:tcW w:w="3459" w:type="dxa"/>
            <w:tcBorders>
              <w:lef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Air Voids</w:t>
            </w:r>
          </w:p>
        </w:tc>
        <w:tc>
          <w:tcPr>
            <w:tcW w:w="225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r>
      <w:tr w:rsidR="004D1834" w:rsidRPr="00884DC0">
        <w:trPr>
          <w:cantSplit/>
          <w:trHeight w:val="360"/>
        </w:trPr>
        <w:tc>
          <w:tcPr>
            <w:tcW w:w="3459"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proofErr w:type="spellStart"/>
            <w:r w:rsidRPr="00884DC0">
              <w:rPr>
                <w:rFonts w:ascii="Arial" w:hAnsi="Arial" w:cs="Arial"/>
              </w:rPr>
              <w:t>Hveem</w:t>
            </w:r>
            <w:proofErr w:type="spellEnd"/>
            <w:r w:rsidRPr="00884DC0">
              <w:rPr>
                <w:rFonts w:ascii="Arial" w:hAnsi="Arial" w:cs="Arial"/>
              </w:rPr>
              <w:t xml:space="preserve"> Stability</w:t>
            </w:r>
          </w:p>
        </w:tc>
        <w:tc>
          <w:tcPr>
            <w:tcW w:w="225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1/10,000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Not applicable.</w:t>
            </w:r>
          </w:p>
        </w:tc>
      </w:tr>
      <w:tr w:rsidR="004D1834" w:rsidRPr="00884DC0">
        <w:trPr>
          <w:cantSplit/>
          <w:trHeight w:val="360"/>
        </w:trPr>
        <w:tc>
          <w:tcPr>
            <w:tcW w:w="3459" w:type="dxa"/>
            <w:tcBorders>
              <w:lef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Resistance to Moisture Damage (</w:t>
            </w:r>
            <w:proofErr w:type="spellStart"/>
            <w:r w:rsidRPr="00884DC0">
              <w:rPr>
                <w:rFonts w:ascii="Arial" w:hAnsi="Arial" w:cs="Arial"/>
              </w:rPr>
              <w:t>Lottman</w:t>
            </w:r>
            <w:proofErr w:type="spellEnd"/>
            <w:r w:rsidRPr="00884DC0">
              <w:rPr>
                <w:rFonts w:ascii="Arial" w:hAnsi="Arial" w:cs="Arial"/>
              </w:rPr>
              <w:t>)</w:t>
            </w:r>
          </w:p>
        </w:tc>
        <w:tc>
          <w:tcPr>
            <w:tcW w:w="225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According to subsection 401.02</w:t>
            </w:r>
          </w:p>
        </w:tc>
        <w:tc>
          <w:tcPr>
            <w:tcW w:w="2166"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Not applicable.</w:t>
            </w:r>
          </w:p>
        </w:tc>
      </w:tr>
      <w:tr w:rsidR="004D1834" w:rsidRPr="00884DC0">
        <w:trPr>
          <w:cantSplit/>
          <w:trHeight w:val="360"/>
        </w:trPr>
        <w:tc>
          <w:tcPr>
            <w:tcW w:w="3459"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Gradation</w:t>
            </w:r>
          </w:p>
        </w:tc>
        <w:tc>
          <w:tcPr>
            <w:tcW w:w="225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1/10 000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jc w:val="center"/>
              <w:rPr>
                <w:rFonts w:ascii="Arial" w:hAnsi="Arial" w:cs="Arial"/>
              </w:rPr>
            </w:pPr>
            <w:r w:rsidRPr="00884DC0">
              <w:rPr>
                <w:rFonts w:ascii="Arial" w:hAnsi="Arial" w:cs="Arial"/>
              </w:rPr>
              <w:t>Not applicable.</w:t>
            </w:r>
          </w:p>
        </w:tc>
      </w:tr>
      <w:tr w:rsidR="004D1834" w:rsidRPr="00884DC0">
        <w:trPr>
          <w:cantSplit/>
          <w:trHeight w:val="360"/>
        </w:trPr>
        <w:tc>
          <w:tcPr>
            <w:tcW w:w="3459" w:type="dxa"/>
            <w:tcBorders>
              <w:lef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Determining Percent Relative Compaction of Bituminous Pavement</w:t>
            </w:r>
          </w:p>
        </w:tc>
        <w:tc>
          <w:tcPr>
            <w:tcW w:w="2250" w:type="dxa"/>
            <w:tcBorders>
              <w:left w:val="single" w:sz="4" w:space="0" w:color="000000"/>
            </w:tcBorders>
            <w:vAlign w:val="center"/>
          </w:tcPr>
          <w:p w:rsidR="004D1834" w:rsidRPr="00884DC0" w:rsidRDefault="004D1834">
            <w:pPr>
              <w:widowControl w:val="0"/>
              <w:snapToGrid w:val="0"/>
              <w:jc w:val="center"/>
              <w:rPr>
                <w:rFonts w:ascii="Arial" w:hAnsi="Arial" w:cs="Arial"/>
                <w:vertAlign w:val="superscript"/>
              </w:rPr>
            </w:pPr>
            <w:r w:rsidRPr="00884DC0">
              <w:rPr>
                <w:rFonts w:ascii="Arial" w:hAnsi="Arial" w:cs="Arial"/>
              </w:rPr>
              <w:t>1/500 tons</w:t>
            </w:r>
            <w:r w:rsidRPr="00884DC0">
              <w:rPr>
                <w:rFonts w:ascii="Arial" w:hAnsi="Arial" w:cs="Arial"/>
                <w:vertAlign w:val="superscript"/>
              </w:rPr>
              <w:t>1</w:t>
            </w:r>
          </w:p>
        </w:tc>
        <w:tc>
          <w:tcPr>
            <w:tcW w:w="2340" w:type="dxa"/>
            <w:tcBorders>
              <w:left w:val="single" w:sz="4"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1/500 tons</w:t>
            </w:r>
            <w:r w:rsidR="001C0A64"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rsidR="004D1834" w:rsidRPr="00884DC0" w:rsidRDefault="004D1834">
            <w:pPr>
              <w:widowControl w:val="0"/>
              <w:snapToGrid w:val="0"/>
              <w:jc w:val="center"/>
              <w:rPr>
                <w:rFonts w:ascii="Arial" w:hAnsi="Arial" w:cs="Arial"/>
              </w:rPr>
            </w:pPr>
            <w:r w:rsidRPr="00884DC0">
              <w:rPr>
                <w:rFonts w:ascii="Arial" w:hAnsi="Arial" w:cs="Arial"/>
              </w:rPr>
              <w:t>1/5000 tons</w:t>
            </w:r>
          </w:p>
        </w:tc>
      </w:tr>
      <w:tr w:rsidR="004D1834" w:rsidRPr="00884DC0">
        <w:trPr>
          <w:cantSplit/>
          <w:trHeight w:val="360"/>
        </w:trPr>
        <w:tc>
          <w:tcPr>
            <w:tcW w:w="3459" w:type="dxa"/>
            <w:tcBorders>
              <w:lef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Joint Density</w:t>
            </w:r>
          </w:p>
        </w:tc>
        <w:tc>
          <w:tcPr>
            <w:tcW w:w="225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1 core/2500 linear feet of joint</w:t>
            </w:r>
          </w:p>
        </w:tc>
        <w:tc>
          <w:tcPr>
            <w:tcW w:w="2340" w:type="dxa"/>
            <w:tcBorders>
              <w:left w:val="single" w:sz="4"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1 core/5000 linear feet of joint</w:t>
            </w:r>
            <w:r w:rsidR="008558D0" w:rsidRPr="00884DC0">
              <w:rPr>
                <w:rFonts w:ascii="Arial" w:hAnsi="Arial" w:cs="Arial"/>
                <w:vertAlign w:val="superscript"/>
              </w:rPr>
              <w:t>1</w:t>
            </w:r>
            <w:bookmarkStart w:id="0" w:name="_GoBack"/>
            <w:bookmarkEnd w:id="0"/>
          </w:p>
        </w:tc>
        <w:tc>
          <w:tcPr>
            <w:tcW w:w="2166" w:type="dxa"/>
            <w:tcBorders>
              <w:left w:val="single" w:sz="4" w:space="0" w:color="000000"/>
              <w:right w:val="double" w:sz="1" w:space="0" w:color="000000"/>
            </w:tcBorders>
            <w:shd w:val="clear" w:color="auto" w:fill="E0E0E0"/>
            <w:vAlign w:val="center"/>
          </w:tcPr>
          <w:p w:rsidR="004D1834" w:rsidRPr="00884DC0" w:rsidRDefault="004D1834">
            <w:pPr>
              <w:widowControl w:val="0"/>
              <w:snapToGrid w:val="0"/>
              <w:rPr>
                <w:rFonts w:ascii="Arial" w:hAnsi="Arial" w:cs="Arial"/>
              </w:rPr>
            </w:pPr>
            <w:r w:rsidRPr="00884DC0">
              <w:rPr>
                <w:rFonts w:ascii="Arial" w:hAnsi="Arial" w:cs="Arial"/>
              </w:rPr>
              <w:t>1 core/50,000 linear feet of joint</w:t>
            </w:r>
          </w:p>
        </w:tc>
      </w:tr>
      <w:tr w:rsidR="004D1834" w:rsidRPr="00884DC0">
        <w:trPr>
          <w:cantSplit/>
          <w:trHeight w:val="360"/>
        </w:trPr>
        <w:tc>
          <w:tcPr>
            <w:tcW w:w="3459" w:type="dxa"/>
            <w:tcBorders>
              <w:left w:val="double" w:sz="1" w:space="0" w:color="000000"/>
            </w:tcBorders>
            <w:vAlign w:val="center"/>
          </w:tcPr>
          <w:p w:rsidR="004D1834" w:rsidRPr="00884DC0" w:rsidRDefault="004D1834">
            <w:pPr>
              <w:snapToGrid w:val="0"/>
              <w:rPr>
                <w:rFonts w:ascii="Arial" w:hAnsi="Arial" w:cs="Arial"/>
                <w:vertAlign w:val="superscript"/>
              </w:rPr>
            </w:pPr>
            <w:r w:rsidRPr="00884DC0">
              <w:rPr>
                <w:rFonts w:ascii="Arial" w:hAnsi="Arial" w:cs="Arial"/>
              </w:rPr>
              <w:t xml:space="preserve">Aggregate Percent Moisture </w:t>
            </w:r>
            <w:r w:rsidRPr="00884DC0">
              <w:rPr>
                <w:rFonts w:ascii="Arial" w:hAnsi="Arial" w:cs="Arial"/>
                <w:vertAlign w:val="superscript"/>
              </w:rPr>
              <w:t>(4)</w:t>
            </w:r>
          </w:p>
        </w:tc>
        <w:tc>
          <w:tcPr>
            <w:tcW w:w="2250" w:type="dxa"/>
            <w:tcBorders>
              <w:left w:val="single" w:sz="4" w:space="0" w:color="000000"/>
            </w:tcBorders>
            <w:vAlign w:val="center"/>
          </w:tcPr>
          <w:p w:rsidR="004D1834" w:rsidRPr="00884DC0" w:rsidRDefault="004D1834">
            <w:pPr>
              <w:snapToGrid w:val="0"/>
              <w:rPr>
                <w:rFonts w:ascii="Arial" w:hAnsi="Arial" w:cs="Arial"/>
              </w:rPr>
            </w:pPr>
            <w:r w:rsidRPr="00884DC0">
              <w:rPr>
                <w:rFonts w:ascii="Arial" w:hAnsi="Arial" w:cs="Arial"/>
              </w:rPr>
              <w:t>1/2000 T or 1/Day if less than 2000 T</w:t>
            </w:r>
          </w:p>
        </w:tc>
        <w:tc>
          <w:tcPr>
            <w:tcW w:w="2340" w:type="dxa"/>
            <w:tcBorders>
              <w:left w:val="single" w:sz="4" w:space="0" w:color="000000"/>
            </w:tcBorders>
            <w:vAlign w:val="center"/>
          </w:tcPr>
          <w:p w:rsidR="004D1834" w:rsidRPr="00884DC0" w:rsidRDefault="004D1834">
            <w:pPr>
              <w:snapToGrid w:val="0"/>
              <w:rPr>
                <w:rFonts w:ascii="Arial" w:hAnsi="Arial" w:cs="Arial"/>
              </w:rPr>
            </w:pPr>
            <w:r w:rsidRPr="00884DC0">
              <w:rPr>
                <w:rFonts w:ascii="Arial" w:hAnsi="Arial" w:cs="Arial"/>
              </w:rPr>
              <w:t>1/2000 T</w:t>
            </w:r>
          </w:p>
        </w:tc>
        <w:tc>
          <w:tcPr>
            <w:tcW w:w="2166" w:type="dxa"/>
            <w:tcBorders>
              <w:left w:val="single" w:sz="4" w:space="0" w:color="000000"/>
              <w:right w:val="double" w:sz="1" w:space="0" w:color="000000"/>
            </w:tcBorders>
            <w:vAlign w:val="center"/>
          </w:tcPr>
          <w:p w:rsidR="004D1834" w:rsidRPr="00884DC0" w:rsidRDefault="004D1834">
            <w:pPr>
              <w:snapToGrid w:val="0"/>
              <w:rPr>
                <w:rFonts w:ascii="Arial" w:hAnsi="Arial" w:cs="Arial"/>
              </w:rPr>
            </w:pPr>
            <w:r w:rsidRPr="00884DC0">
              <w:rPr>
                <w:rFonts w:ascii="Arial" w:hAnsi="Arial" w:cs="Arial"/>
              </w:rPr>
              <w:t>Not applicable</w:t>
            </w:r>
          </w:p>
        </w:tc>
      </w:tr>
      <w:tr w:rsidR="004D1834" w:rsidRPr="00884DC0">
        <w:trPr>
          <w:cantSplit/>
          <w:trHeight w:val="360"/>
        </w:trPr>
        <w:tc>
          <w:tcPr>
            <w:tcW w:w="3459" w:type="dxa"/>
            <w:tcBorders>
              <w:left w:val="double" w:sz="1" w:space="0" w:color="000000"/>
              <w:bottom w:val="single" w:sz="4" w:space="0" w:color="000000"/>
            </w:tcBorders>
            <w:shd w:val="clear" w:color="auto" w:fill="E0E0E0"/>
            <w:vAlign w:val="center"/>
          </w:tcPr>
          <w:p w:rsidR="004D1834" w:rsidRPr="00884DC0" w:rsidRDefault="004D1834">
            <w:pPr>
              <w:snapToGrid w:val="0"/>
              <w:rPr>
                <w:rFonts w:ascii="Arial" w:hAnsi="Arial" w:cs="Arial"/>
                <w:vertAlign w:val="superscript"/>
              </w:rPr>
            </w:pPr>
            <w:r w:rsidRPr="00884DC0">
              <w:rPr>
                <w:rFonts w:ascii="Arial" w:hAnsi="Arial" w:cs="Arial"/>
              </w:rPr>
              <w:t xml:space="preserve">Percent Lime </w:t>
            </w:r>
            <w:r w:rsidRPr="00884DC0">
              <w:rPr>
                <w:rFonts w:ascii="Arial" w:hAnsi="Arial" w:cs="Arial"/>
                <w:vertAlign w:val="superscript"/>
              </w:rPr>
              <w:t>(4) (5)</w:t>
            </w:r>
          </w:p>
        </w:tc>
        <w:tc>
          <w:tcPr>
            <w:tcW w:w="2250" w:type="dxa"/>
            <w:tcBorders>
              <w:left w:val="single" w:sz="4" w:space="0" w:color="000000"/>
              <w:bottom w:val="single" w:sz="4" w:space="0" w:color="000000"/>
            </w:tcBorders>
            <w:shd w:val="clear" w:color="auto" w:fill="E0E0E0"/>
            <w:vAlign w:val="center"/>
          </w:tcPr>
          <w:p w:rsidR="004D1834" w:rsidRPr="00884DC0" w:rsidRDefault="004D1834">
            <w:pPr>
              <w:pStyle w:val="Footer"/>
              <w:tabs>
                <w:tab w:val="clear" w:pos="4320"/>
                <w:tab w:val="clear" w:pos="8640"/>
              </w:tabs>
              <w:snapToGrid w:val="0"/>
              <w:rPr>
                <w:rFonts w:ascii="Arial" w:hAnsi="Arial" w:cs="Arial"/>
              </w:rPr>
            </w:pPr>
            <w:r w:rsidRPr="00884DC0">
              <w:rPr>
                <w:rFonts w:ascii="Arial" w:hAnsi="Arial" w:cs="Arial"/>
              </w:rPr>
              <w:t>1/Day</w:t>
            </w:r>
          </w:p>
        </w:tc>
        <w:tc>
          <w:tcPr>
            <w:tcW w:w="2340" w:type="dxa"/>
            <w:tcBorders>
              <w:left w:val="single" w:sz="4" w:space="0" w:color="000000"/>
              <w:bottom w:val="single" w:sz="4" w:space="0" w:color="000000"/>
            </w:tcBorders>
            <w:shd w:val="clear" w:color="auto" w:fill="E0E0E0"/>
            <w:vAlign w:val="center"/>
          </w:tcPr>
          <w:p w:rsidR="004D1834" w:rsidRPr="00884DC0" w:rsidRDefault="004D1834">
            <w:pPr>
              <w:snapToGrid w:val="0"/>
              <w:rPr>
                <w:rFonts w:ascii="Arial" w:hAnsi="Arial" w:cs="Arial"/>
              </w:rPr>
            </w:pPr>
            <w:r w:rsidRPr="00884DC0">
              <w:rPr>
                <w:rFonts w:ascii="Arial" w:hAnsi="Arial" w:cs="Arial"/>
              </w:rPr>
              <w:t>Not applicable</w:t>
            </w:r>
          </w:p>
        </w:tc>
        <w:tc>
          <w:tcPr>
            <w:tcW w:w="2166" w:type="dxa"/>
            <w:tcBorders>
              <w:left w:val="single" w:sz="4" w:space="0" w:color="000000"/>
              <w:bottom w:val="single" w:sz="4" w:space="0" w:color="000000"/>
              <w:right w:val="double" w:sz="1" w:space="0" w:color="000000"/>
            </w:tcBorders>
            <w:shd w:val="clear" w:color="auto" w:fill="E0E0E0"/>
            <w:vAlign w:val="center"/>
          </w:tcPr>
          <w:p w:rsidR="004D1834" w:rsidRPr="00884DC0" w:rsidRDefault="004D1834">
            <w:pPr>
              <w:snapToGrid w:val="0"/>
              <w:rPr>
                <w:rFonts w:ascii="Arial" w:hAnsi="Arial" w:cs="Arial"/>
              </w:rPr>
            </w:pPr>
            <w:r w:rsidRPr="00884DC0">
              <w:rPr>
                <w:rFonts w:ascii="Arial" w:hAnsi="Arial" w:cs="Arial"/>
              </w:rPr>
              <w:t>Not applicable</w:t>
            </w:r>
          </w:p>
        </w:tc>
      </w:tr>
      <w:tr w:rsidR="004D1834" w:rsidRPr="00884DC0">
        <w:trPr>
          <w:cantSplit/>
          <w:trHeight w:val="4335"/>
        </w:trPr>
        <w:tc>
          <w:tcPr>
            <w:tcW w:w="10215" w:type="dxa"/>
            <w:gridSpan w:val="4"/>
            <w:tcBorders>
              <w:left w:val="double" w:sz="1" w:space="0" w:color="000000"/>
              <w:bottom w:val="double" w:sz="1" w:space="0" w:color="000000"/>
              <w:right w:val="double" w:sz="1" w:space="0" w:color="000000"/>
            </w:tcBorders>
            <w:vAlign w:val="center"/>
          </w:tcPr>
          <w:p w:rsidR="004D1834" w:rsidRPr="00884DC0" w:rsidRDefault="004D1834">
            <w:pPr>
              <w:widowControl w:val="0"/>
              <w:snapToGrid w:val="0"/>
              <w:rPr>
                <w:rFonts w:ascii="Arial" w:hAnsi="Arial" w:cs="Arial"/>
              </w:rPr>
            </w:pPr>
            <w:r w:rsidRPr="00884DC0">
              <w:rPr>
                <w:rFonts w:ascii="Arial" w:hAnsi="Arial" w:cs="Arial"/>
              </w:rPr>
              <w:t>Notes for Table 106-1:</w:t>
            </w:r>
          </w:p>
          <w:p w:rsidR="004D1834" w:rsidRPr="00884DC0" w:rsidRDefault="004D1834" w:rsidP="004D1834">
            <w:pPr>
              <w:widowControl w:val="0"/>
              <w:numPr>
                <w:ilvl w:val="0"/>
                <w:numId w:val="15"/>
              </w:numPr>
              <w:tabs>
                <w:tab w:val="left" w:pos="10"/>
                <w:tab w:val="left" w:pos="874"/>
              </w:tabs>
              <w:suppressAutoHyphens/>
              <w:rPr>
                <w:rFonts w:ascii="Arial" w:hAnsi="Arial" w:cs="Arial"/>
              </w:rPr>
            </w:pPr>
            <w:r w:rsidRPr="00884DC0">
              <w:rPr>
                <w:rFonts w:ascii="Arial" w:hAnsi="Arial" w:cs="Arial"/>
              </w:rPr>
              <w:t>The minimum number of acceptance tests will be at least 5 asphalt content, 5 voids in the mineral aggregate, 5 air voids, 10-in</w:t>
            </w:r>
            <w:r w:rsidRPr="00884DC0">
              <w:rPr>
                <w:rFonts w:ascii="Arial" w:hAnsi="Arial" w:cs="Arial"/>
              </w:rPr>
              <w:noBreakHyphen/>
              <w:t>place density and 5 joint densities for all projects.</w:t>
            </w:r>
          </w:p>
          <w:p w:rsidR="004D1834" w:rsidRPr="00884DC0" w:rsidRDefault="004D1834">
            <w:pPr>
              <w:pStyle w:val="Header"/>
              <w:widowControl w:val="0"/>
              <w:tabs>
                <w:tab w:val="clear" w:pos="4320"/>
                <w:tab w:val="clear" w:pos="8640"/>
              </w:tabs>
              <w:ind w:left="730" w:hanging="360"/>
              <w:rPr>
                <w:rFonts w:ascii="Arial" w:hAnsi="Arial" w:cs="Arial"/>
              </w:rPr>
            </w:pPr>
          </w:p>
          <w:p w:rsidR="004D1834" w:rsidRPr="00884DC0" w:rsidRDefault="004D1834" w:rsidP="004D1834">
            <w:pPr>
              <w:widowControl w:val="0"/>
              <w:numPr>
                <w:ilvl w:val="0"/>
                <w:numId w:val="15"/>
              </w:numPr>
              <w:tabs>
                <w:tab w:val="left" w:pos="10"/>
                <w:tab w:val="left" w:pos="874"/>
              </w:tabs>
              <w:suppressAutoHyphens/>
              <w:rPr>
                <w:rFonts w:ascii="Arial" w:hAnsi="Arial" w:cs="Arial"/>
              </w:rPr>
            </w:pPr>
            <w:r w:rsidRPr="00884DC0">
              <w:rPr>
                <w:rFonts w:ascii="Arial" w:hAnsi="Arial" w:cs="Arial"/>
              </w:rPr>
              <w:t>For information only.  These elements are not used to calculate pay factors.</w:t>
            </w:r>
          </w:p>
          <w:p w:rsidR="004D1834" w:rsidRPr="00884DC0" w:rsidRDefault="004D1834">
            <w:pPr>
              <w:widowControl w:val="0"/>
              <w:ind w:left="730" w:hanging="360"/>
              <w:rPr>
                <w:rFonts w:ascii="Arial" w:hAnsi="Arial" w:cs="Arial"/>
              </w:rPr>
            </w:pPr>
          </w:p>
          <w:p w:rsidR="004D1834" w:rsidRPr="00884DC0" w:rsidRDefault="004D1834" w:rsidP="004D1834">
            <w:pPr>
              <w:widowControl w:val="0"/>
              <w:numPr>
                <w:ilvl w:val="0"/>
                <w:numId w:val="15"/>
              </w:numPr>
              <w:tabs>
                <w:tab w:val="left" w:pos="10"/>
                <w:tab w:val="left" w:pos="874"/>
              </w:tabs>
              <w:suppressAutoHyphens/>
              <w:rPr>
                <w:rFonts w:ascii="Arial" w:hAnsi="Arial" w:cs="Arial"/>
              </w:rPr>
            </w:pPr>
            <w:r w:rsidRPr="00884DC0">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rsidR="004D1834" w:rsidRPr="00884DC0" w:rsidRDefault="004D1834">
            <w:pPr>
              <w:widowControl w:val="0"/>
              <w:ind w:left="730" w:hanging="360"/>
              <w:rPr>
                <w:rFonts w:ascii="Arial" w:hAnsi="Arial" w:cs="Arial"/>
              </w:rPr>
            </w:pPr>
          </w:p>
          <w:p w:rsidR="004D1834" w:rsidRPr="00884DC0" w:rsidRDefault="004D1834" w:rsidP="004D1834">
            <w:pPr>
              <w:widowControl w:val="0"/>
              <w:numPr>
                <w:ilvl w:val="0"/>
                <w:numId w:val="15"/>
              </w:numPr>
              <w:tabs>
                <w:tab w:val="left" w:pos="10"/>
                <w:tab w:val="left" w:pos="874"/>
              </w:tabs>
              <w:suppressAutoHyphens/>
              <w:rPr>
                <w:rFonts w:ascii="Arial" w:hAnsi="Arial" w:cs="Arial"/>
              </w:rPr>
            </w:pPr>
            <w:r w:rsidRPr="00884DC0">
              <w:rPr>
                <w:rFonts w:ascii="Arial" w:hAnsi="Arial" w:cs="Arial"/>
              </w:rPr>
              <w:t>Not to be used for incentive/disincentive pay.  Test according to CP-60B and report results from Form 106, Form 565 or Form 6.</w:t>
            </w:r>
          </w:p>
          <w:p w:rsidR="004D1834" w:rsidRPr="00884DC0" w:rsidRDefault="004D1834">
            <w:pPr>
              <w:widowControl w:val="0"/>
              <w:ind w:left="730" w:hanging="360"/>
              <w:rPr>
                <w:rFonts w:ascii="Arial" w:hAnsi="Arial" w:cs="Arial"/>
              </w:rPr>
            </w:pPr>
          </w:p>
          <w:p w:rsidR="004D1834" w:rsidRPr="00884DC0" w:rsidRDefault="004D1834" w:rsidP="004D1834">
            <w:pPr>
              <w:widowControl w:val="0"/>
              <w:numPr>
                <w:ilvl w:val="0"/>
                <w:numId w:val="15"/>
              </w:numPr>
              <w:tabs>
                <w:tab w:val="left" w:pos="10"/>
                <w:tab w:val="left" w:pos="874"/>
              </w:tabs>
              <w:suppressAutoHyphens/>
              <w:rPr>
                <w:rFonts w:ascii="Arial" w:hAnsi="Arial" w:cs="Arial"/>
              </w:rPr>
            </w:pPr>
            <w:r w:rsidRPr="00884DC0">
              <w:rPr>
                <w:rFonts w:ascii="Arial" w:hAnsi="Arial" w:cs="Arial"/>
              </w:rPr>
              <w:t>Verified per Contractor’s QC Plan.</w:t>
            </w:r>
          </w:p>
        </w:tc>
      </w:tr>
    </w:tbl>
    <w:p w:rsidR="004D1834" w:rsidRPr="00884DC0" w:rsidRDefault="004D1834">
      <w:pPr>
        <w:rPr>
          <w:rFonts w:ascii="Arial" w:hAnsi="Arial" w:cs="Arial"/>
        </w:rPr>
      </w:pPr>
    </w:p>
    <w:p w:rsidR="004D1834" w:rsidRPr="00884DC0" w:rsidRDefault="004D1834">
      <w:pPr>
        <w:rPr>
          <w:rFonts w:ascii="Arial" w:hAnsi="Arial" w:cs="Arial"/>
        </w:rPr>
      </w:pPr>
    </w:p>
    <w:p w:rsidR="00AA36CC" w:rsidRPr="00884DC0" w:rsidRDefault="00AA36CC">
      <w:pPr>
        <w:rPr>
          <w:rFonts w:ascii="Arial" w:hAnsi="Arial" w:cs="Arial"/>
        </w:rPr>
      </w:pPr>
    </w:p>
    <w:sectPr w:rsidR="00AA36CC" w:rsidRPr="00884DC0" w:rsidSect="00D27D78">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EC" w:rsidRDefault="000363EC">
      <w:r>
        <w:separator/>
      </w:r>
    </w:p>
  </w:endnote>
  <w:endnote w:type="continuationSeparator" w:id="0">
    <w:p w:rsidR="000363EC" w:rsidRDefault="000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EC" w:rsidRDefault="000363EC">
      <w:r>
        <w:separator/>
      </w:r>
    </w:p>
  </w:footnote>
  <w:footnote w:type="continuationSeparator" w:id="0">
    <w:p w:rsidR="000363EC" w:rsidRDefault="0003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C0" w:rsidRPr="00522DB7" w:rsidRDefault="001C0A64" w:rsidP="004D1834">
    <w:pPr>
      <w:pStyle w:val="Header"/>
      <w:jc w:val="right"/>
      <w:rPr>
        <w:rFonts w:ascii="Arial" w:hAnsi="Arial" w:cs="Arial"/>
      </w:rPr>
    </w:pPr>
    <w:r>
      <w:rPr>
        <w:rFonts w:ascii="Arial" w:hAnsi="Arial" w:cs="Arial"/>
      </w:rPr>
      <w:t>January 30, 2014</w:t>
    </w:r>
  </w:p>
  <w:p w:rsidR="00884DC0" w:rsidRDefault="00884DC0" w:rsidP="004D1834">
    <w:pPr>
      <w:pStyle w:val="Header"/>
      <w:jc w:val="right"/>
      <w:rPr>
        <w:rFonts w:cs="Arial"/>
        <w:sz w:val="24"/>
      </w:rPr>
    </w:pPr>
  </w:p>
  <w:p w:rsidR="00884DC0" w:rsidRPr="00522DB7" w:rsidRDefault="00380886" w:rsidP="00522DB7">
    <w:pPr>
      <w:pStyle w:val="Header"/>
      <w:jc w:val="center"/>
      <w:rPr>
        <w:rStyle w:val="PageNumber"/>
        <w:rFonts w:ascii="Arial" w:hAnsi="Arial" w:cs="Arial"/>
      </w:rPr>
    </w:pPr>
    <w:r w:rsidRPr="00522DB7">
      <w:rPr>
        <w:rStyle w:val="PageNumber"/>
        <w:rFonts w:ascii="Arial" w:hAnsi="Arial" w:cs="Arial"/>
      </w:rPr>
      <w:fldChar w:fldCharType="begin"/>
    </w:r>
    <w:r w:rsidR="00884DC0" w:rsidRPr="00522DB7">
      <w:rPr>
        <w:rStyle w:val="PageNumber"/>
        <w:rFonts w:ascii="Arial" w:hAnsi="Arial" w:cs="Arial"/>
      </w:rPr>
      <w:instrText xml:space="preserve"> PAGE </w:instrText>
    </w:r>
    <w:r w:rsidRPr="00522DB7">
      <w:rPr>
        <w:rStyle w:val="PageNumber"/>
        <w:rFonts w:ascii="Arial" w:hAnsi="Arial" w:cs="Arial"/>
      </w:rPr>
      <w:fldChar w:fldCharType="separate"/>
    </w:r>
    <w:r w:rsidR="008558D0">
      <w:rPr>
        <w:rStyle w:val="PageNumber"/>
        <w:rFonts w:ascii="Arial" w:hAnsi="Arial" w:cs="Arial"/>
        <w:noProof/>
      </w:rPr>
      <w:t>10</w:t>
    </w:r>
    <w:r w:rsidRPr="00522DB7">
      <w:rPr>
        <w:rStyle w:val="PageNumber"/>
        <w:rFonts w:ascii="Arial" w:hAnsi="Arial" w:cs="Arial"/>
      </w:rPr>
      <w:fldChar w:fldCharType="end"/>
    </w:r>
  </w:p>
  <w:p w:rsidR="00884DC0" w:rsidRPr="00522DB7" w:rsidRDefault="00884DC0" w:rsidP="00522DB7">
    <w:pPr>
      <w:pStyle w:val="Header"/>
      <w:jc w:val="center"/>
      <w:rPr>
        <w:rStyle w:val="PageNumber"/>
        <w:rFonts w:ascii="Arial" w:hAnsi="Arial" w:cs="Arial"/>
      </w:rPr>
    </w:pPr>
    <w:r w:rsidRPr="00522DB7">
      <w:rPr>
        <w:rStyle w:val="PageNumber"/>
        <w:rFonts w:ascii="Arial" w:hAnsi="Arial" w:cs="Arial"/>
      </w:rPr>
      <w:t>REVISION OF SECTIONS 105 AND 106</w:t>
    </w:r>
  </w:p>
  <w:p w:rsidR="00884DC0" w:rsidRPr="00522DB7" w:rsidRDefault="00884DC0" w:rsidP="00522DB7">
    <w:pPr>
      <w:pStyle w:val="Header"/>
      <w:jc w:val="center"/>
      <w:rPr>
        <w:rStyle w:val="PageNumber"/>
        <w:rFonts w:ascii="Arial" w:hAnsi="Arial" w:cs="Arial"/>
      </w:rPr>
    </w:pPr>
    <w:r w:rsidRPr="00522DB7">
      <w:rPr>
        <w:rStyle w:val="PageNumber"/>
        <w:rFonts w:ascii="Arial" w:hAnsi="Arial" w:cs="Arial"/>
      </w:rPr>
      <w:t>CONFORMITY TO THE CONTRACT OF HOT MIX ASPHALT</w:t>
    </w:r>
  </w:p>
  <w:p w:rsidR="00884DC0" w:rsidRPr="00522DB7" w:rsidRDefault="00884DC0" w:rsidP="00522DB7">
    <w:pPr>
      <w:pStyle w:val="Header"/>
      <w:jc w:val="center"/>
      <w:rPr>
        <w:rFonts w:ascii="Arial" w:hAnsi="Arial" w:cs="Arial"/>
      </w:rPr>
    </w:pPr>
    <w:r w:rsidRPr="00522DB7">
      <w:rPr>
        <w:rStyle w:val="PageNumber"/>
        <w:rFonts w:ascii="Arial" w:hAnsi="Arial" w:cs="Arial"/>
      </w:rPr>
      <w:t>(VOIDS ACCEPTANCE)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3">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4">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6">
    <w:nsid w:val="199F29BD"/>
    <w:multiLevelType w:val="hybridMultilevel"/>
    <w:tmpl w:val="6F78B5E4"/>
    <w:lvl w:ilvl="0" w:tplc="824619EA">
      <w:start w:val="2"/>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8">
    <w:nsid w:val="36DC5647"/>
    <w:multiLevelType w:val="hybridMultilevel"/>
    <w:tmpl w:val="86828EEE"/>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12">
    <w:nsid w:val="688F0F06"/>
    <w:multiLevelType w:val="hybridMultilevel"/>
    <w:tmpl w:val="E8A493F2"/>
    <w:lvl w:ilvl="0" w:tplc="254C2252">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1"/>
  </w:num>
  <w:num w:numId="5">
    <w:abstractNumId w:val="6"/>
  </w:num>
  <w:num w:numId="6">
    <w:abstractNumId w:val="9"/>
  </w:num>
  <w:num w:numId="7">
    <w:abstractNumId w:val="12"/>
  </w:num>
  <w:num w:numId="8">
    <w:abstractNumId w:val="7"/>
  </w:num>
  <w:num w:numId="9">
    <w:abstractNumId w:val="1"/>
  </w:num>
  <w:num w:numId="10">
    <w:abstractNumId w:val="0"/>
  </w:num>
  <w:num w:numId="11">
    <w:abstractNumId w:val="2"/>
  </w:num>
  <w:num w:numId="12">
    <w:abstractNumId w:val="3"/>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363EC"/>
    <w:rsid w:val="001C0A64"/>
    <w:rsid w:val="001C3F85"/>
    <w:rsid w:val="002770E4"/>
    <w:rsid w:val="002F5CC9"/>
    <w:rsid w:val="003123BA"/>
    <w:rsid w:val="00380886"/>
    <w:rsid w:val="004A5CFF"/>
    <w:rsid w:val="004D1834"/>
    <w:rsid w:val="004D37CC"/>
    <w:rsid w:val="00522DB7"/>
    <w:rsid w:val="005357B0"/>
    <w:rsid w:val="00575921"/>
    <w:rsid w:val="005C53F4"/>
    <w:rsid w:val="00686E8E"/>
    <w:rsid w:val="006F5E2B"/>
    <w:rsid w:val="00720522"/>
    <w:rsid w:val="007735BF"/>
    <w:rsid w:val="008558D0"/>
    <w:rsid w:val="00870736"/>
    <w:rsid w:val="00884DC0"/>
    <w:rsid w:val="008B00B3"/>
    <w:rsid w:val="00987248"/>
    <w:rsid w:val="009C62D6"/>
    <w:rsid w:val="00A14275"/>
    <w:rsid w:val="00A92397"/>
    <w:rsid w:val="00A92D7B"/>
    <w:rsid w:val="00AA36CC"/>
    <w:rsid w:val="00AC7AF4"/>
    <w:rsid w:val="00B25927"/>
    <w:rsid w:val="00B53343"/>
    <w:rsid w:val="00B91FF1"/>
    <w:rsid w:val="00CC7CD3"/>
    <w:rsid w:val="00CD31E1"/>
    <w:rsid w:val="00CE3688"/>
    <w:rsid w:val="00D27D78"/>
    <w:rsid w:val="00DB39CF"/>
    <w:rsid w:val="00E80D5F"/>
    <w:rsid w:val="00E913EF"/>
    <w:rsid w:val="00EA7A41"/>
    <w:rsid w:val="00EF1243"/>
    <w:rsid w:val="00F605A4"/>
    <w:rsid w:val="00F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D78"/>
  </w:style>
  <w:style w:type="paragraph" w:styleId="Heading1">
    <w:name w:val="heading 1"/>
    <w:basedOn w:val="Normal"/>
    <w:next w:val="Normal"/>
    <w:qFormat/>
    <w:rsid w:val="00D27D78"/>
    <w:pPr>
      <w:keepNext/>
      <w:jc w:val="center"/>
      <w:outlineLvl w:val="0"/>
    </w:pPr>
    <w:rPr>
      <w:rFonts w:ascii="Arial" w:hAnsi="Arial"/>
      <w:b/>
    </w:rPr>
  </w:style>
  <w:style w:type="paragraph" w:styleId="Heading2">
    <w:name w:val="heading 2"/>
    <w:basedOn w:val="Normal"/>
    <w:next w:val="Normal"/>
    <w:qFormat/>
    <w:rsid w:val="00D27D78"/>
    <w:pPr>
      <w:keepNext/>
      <w:jc w:val="center"/>
      <w:outlineLvl w:val="1"/>
    </w:pPr>
    <w:rPr>
      <w:rFonts w:ascii="Arial" w:hAnsi="Arial"/>
      <w:b/>
      <w:color w:val="FFFFFF"/>
    </w:rPr>
  </w:style>
  <w:style w:type="paragraph" w:styleId="Heading3">
    <w:name w:val="heading 3"/>
    <w:basedOn w:val="Normal"/>
    <w:next w:val="Normal"/>
    <w:qFormat/>
    <w:rsid w:val="00D27D78"/>
    <w:pPr>
      <w:keepNext/>
      <w:outlineLvl w:val="2"/>
    </w:pPr>
    <w:rPr>
      <w:sz w:val="24"/>
    </w:rPr>
  </w:style>
  <w:style w:type="paragraph" w:styleId="Heading4">
    <w:name w:val="heading 4"/>
    <w:basedOn w:val="Normal"/>
    <w:next w:val="Normal"/>
    <w:qFormat/>
    <w:rsid w:val="00D27D78"/>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7D78"/>
    <w:rPr>
      <w:rFonts w:ascii="Arial Narrow" w:hAnsi="Arial Narrow"/>
      <w:b/>
    </w:rPr>
  </w:style>
  <w:style w:type="paragraph" w:styleId="Title">
    <w:name w:val="Title"/>
    <w:basedOn w:val="Normal"/>
    <w:qFormat/>
    <w:rsid w:val="00D27D7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D27D78"/>
    <w:pPr>
      <w:ind w:left="360" w:hanging="432"/>
    </w:pPr>
    <w:rPr>
      <w:rFonts w:ascii="Arial" w:hAnsi="Arial"/>
    </w:rPr>
  </w:style>
  <w:style w:type="paragraph" w:styleId="BodyTextIndent">
    <w:name w:val="Body Text Indent"/>
    <w:basedOn w:val="Normal"/>
    <w:rsid w:val="00D27D7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D27D7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4D1834"/>
    <w:rPr>
      <w:rFonts w:ascii="Tahoma" w:hAnsi="Tahoma" w:cs="Tahoma"/>
      <w:sz w:val="16"/>
      <w:szCs w:val="16"/>
    </w:rPr>
  </w:style>
  <w:style w:type="paragraph" w:styleId="Header">
    <w:name w:val="header"/>
    <w:basedOn w:val="Normal"/>
    <w:rsid w:val="004D1834"/>
    <w:pPr>
      <w:tabs>
        <w:tab w:val="center" w:pos="4320"/>
        <w:tab w:val="right" w:pos="8640"/>
      </w:tabs>
    </w:pPr>
    <w:rPr>
      <w:rFonts w:ascii="Tms Rmn" w:hAnsi="Tms Rmn"/>
    </w:rPr>
  </w:style>
  <w:style w:type="character" w:styleId="CommentReference">
    <w:name w:val="annotation reference"/>
    <w:basedOn w:val="DefaultParagraphFont"/>
    <w:rsid w:val="004D1834"/>
    <w:rPr>
      <w:sz w:val="16"/>
      <w:szCs w:val="16"/>
    </w:rPr>
  </w:style>
  <w:style w:type="paragraph" w:styleId="CommentText">
    <w:name w:val="annotation text"/>
    <w:basedOn w:val="Normal"/>
    <w:link w:val="CommentTextChar"/>
    <w:rsid w:val="004D1834"/>
  </w:style>
  <w:style w:type="character" w:customStyle="1" w:styleId="CommentTextChar">
    <w:name w:val="Comment Text Char"/>
    <w:basedOn w:val="DefaultParagraphFont"/>
    <w:link w:val="CommentText"/>
    <w:rsid w:val="004D1834"/>
    <w:rPr>
      <w:lang w:val="en-US" w:eastAsia="en-US" w:bidi="ar-SA"/>
    </w:rPr>
  </w:style>
  <w:style w:type="paragraph" w:styleId="BodyText2">
    <w:name w:val="Body Text 2"/>
    <w:basedOn w:val="Normal"/>
    <w:rsid w:val="004D1834"/>
    <w:pPr>
      <w:widowControl w:val="0"/>
      <w:suppressAutoHyphens/>
      <w:spacing w:line="264" w:lineRule="atLeast"/>
    </w:pPr>
    <w:rPr>
      <w:sz w:val="28"/>
      <w:lang w:eastAsia="ar-SA"/>
    </w:rPr>
  </w:style>
  <w:style w:type="paragraph" w:styleId="Footer">
    <w:name w:val="footer"/>
    <w:basedOn w:val="Normal"/>
    <w:rsid w:val="004D1834"/>
    <w:pPr>
      <w:tabs>
        <w:tab w:val="center" w:pos="4320"/>
        <w:tab w:val="right" w:pos="8640"/>
      </w:tabs>
      <w:suppressAutoHyphens/>
    </w:pPr>
    <w:rPr>
      <w:lang w:eastAsia="ar-SA"/>
    </w:rPr>
  </w:style>
  <w:style w:type="paragraph" w:styleId="Subtitle">
    <w:name w:val="Subtitle"/>
    <w:basedOn w:val="Normal"/>
    <w:next w:val="BodyText"/>
    <w:qFormat/>
    <w:rsid w:val="004D1834"/>
    <w:pPr>
      <w:keepNext/>
      <w:suppressAutoHyphens/>
      <w:spacing w:before="240" w:after="120"/>
      <w:jc w:val="center"/>
    </w:pPr>
    <w:rPr>
      <w:rFonts w:ascii="Albany" w:eastAsia="MS Mincho" w:hAnsi="Albany" w:cs="Tahoma"/>
      <w:i/>
      <w:iCs/>
      <w:sz w:val="28"/>
      <w:szCs w:val="28"/>
      <w:lang w:eastAsia="ar-SA"/>
    </w:rPr>
  </w:style>
  <w:style w:type="character" w:styleId="PageNumber">
    <w:name w:val="page number"/>
    <w:basedOn w:val="DefaultParagraphFont"/>
    <w:rsid w:val="0052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2000-06-16T18:28:00Z</cp:lastPrinted>
  <dcterms:created xsi:type="dcterms:W3CDTF">2014-01-29T16:45:00Z</dcterms:created>
  <dcterms:modified xsi:type="dcterms:W3CDTF">2014-01-29T17:11:00Z</dcterms:modified>
</cp:coreProperties>
</file>