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AF2DE7E">
            <wp:simplePos x="0" y="0"/>
            <wp:positionH relativeFrom="column">
              <wp:posOffset>0</wp:posOffset>
            </wp:positionH>
            <wp:positionV relativeFrom="paragraph">
              <wp:posOffset>54610</wp:posOffset>
            </wp:positionV>
            <wp:extent cx="2752090" cy="511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52090" cy="511810"/>
                    </a:xfrm>
                    <a:prstGeom prst="rect">
                      <a:avLst/>
                    </a:prstGeom>
                  </pic:spPr>
                </pic:pic>
              </a:graphicData>
            </a:graphic>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30ED4C5F" w:rsidR="000A14EB" w:rsidRDefault="000A14EB"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46BF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56273A1B" w14:textId="766FE793" w:rsidR="005D6B6D"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t>All holders of Standard Special Provisions</w:t>
      </w:r>
    </w:p>
    <w:p w14:paraId="479C302B" w14:textId="77777777" w:rsidR="003C6112" w:rsidRDefault="003C6112"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39ECF83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B9FF4E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t>Larry Brinck, Standards and Specifications Engineer</w:t>
      </w:r>
      <w:r w:rsidRPr="00AD69E9">
        <w:rPr>
          <w:rFonts w:ascii="Trebuchet MS" w:hAnsi="Trebuchet MS" w:cs="Arial"/>
        </w:rPr>
        <w:tab/>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12E9B990"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FB2F3A" w:rsidRPr="0019563C">
        <w:rPr>
          <w:rFonts w:ascii="Trebuchet MS" w:hAnsi="Trebuchet MS" w:cs="Arial"/>
        </w:rPr>
        <w:t xml:space="preserve">Revision of Section </w:t>
      </w:r>
      <w:r w:rsidR="00FB2F3A" w:rsidRPr="00A53B93">
        <w:rPr>
          <w:rFonts w:ascii="Trebuchet MS" w:hAnsi="Trebuchet MS" w:cs="Arial"/>
        </w:rPr>
        <w:t>105, Hot Mix Asphalt Pavement Smoothness</w:t>
      </w:r>
    </w:p>
    <w:p w14:paraId="2B8094C4" w14:textId="77777777" w:rsidR="00FB2F3A" w:rsidRDefault="00FB2F3A" w:rsidP="00AD69E9">
      <w:pPr>
        <w:pStyle w:val="BodyText"/>
        <w:keepLines/>
        <w:tabs>
          <w:tab w:val="left" w:pos="1440"/>
          <w:tab w:val="left" w:pos="3600"/>
          <w:tab w:val="left" w:pos="4680"/>
        </w:tabs>
        <w:ind w:left="1440" w:right="-187" w:hanging="1440"/>
        <w:outlineLvl w:val="0"/>
        <w:rPr>
          <w:rFonts w:ascii="Trebuchet MS" w:hAnsi="Trebuchet MS" w:cs="Arial"/>
        </w:rPr>
      </w:pPr>
    </w:p>
    <w:p w14:paraId="631299C7" w14:textId="77777777" w:rsidR="00FB2F3A" w:rsidRDefault="00FB2F3A" w:rsidP="00FB2F3A">
      <w:pPr>
        <w:pStyle w:val="BodyText"/>
        <w:keepLines/>
        <w:tabs>
          <w:tab w:val="left" w:pos="1440"/>
          <w:tab w:val="left" w:pos="3600"/>
          <w:tab w:val="left" w:pos="4680"/>
        </w:tabs>
        <w:ind w:right="-187"/>
        <w:outlineLvl w:val="0"/>
        <w:rPr>
          <w:rFonts w:ascii="Trebuchet MS" w:hAnsi="Trebuchet MS" w:cs="Arial"/>
        </w:rPr>
      </w:pPr>
      <w:r w:rsidRPr="00A53B93">
        <w:rPr>
          <w:rFonts w:ascii="Trebuchet MS" w:hAnsi="Trebuchet MS" w:cs="Arial"/>
        </w:rPr>
        <w:t>Effective this date, our unit is issuing a revised version of the Standard Special Provision Revision of Section 105, Hot Mix Asphalt Pavement Smoothness.  This revised s</w:t>
      </w:r>
      <w:r>
        <w:rPr>
          <w:rFonts w:ascii="Trebuchet MS" w:hAnsi="Trebuchet MS" w:cs="Arial"/>
        </w:rPr>
        <w:t xml:space="preserve">tandard special is 9 pages long.  It replaces a now obsolete standard special provision having the same title dated April 26, 2012. </w:t>
      </w:r>
    </w:p>
    <w:p w14:paraId="5BA243FA" w14:textId="77777777" w:rsidR="00FB2F3A" w:rsidRDefault="00FB2F3A" w:rsidP="00FB2F3A">
      <w:pPr>
        <w:pStyle w:val="BodyText"/>
        <w:keepLines/>
        <w:tabs>
          <w:tab w:val="left" w:pos="1440"/>
          <w:tab w:val="left" w:pos="3600"/>
          <w:tab w:val="left" w:pos="4680"/>
        </w:tabs>
        <w:ind w:right="-187"/>
        <w:outlineLvl w:val="0"/>
        <w:rPr>
          <w:rFonts w:ascii="Trebuchet MS" w:hAnsi="Trebuchet MS" w:cs="Arial"/>
        </w:rPr>
      </w:pPr>
      <w:r w:rsidRPr="00A53B93">
        <w:rPr>
          <w:rFonts w:ascii="Trebuchet MS" w:hAnsi="Trebuchet MS" w:cs="Arial"/>
        </w:rPr>
        <w:t>Use on all projects having HMA pavement. The designer will specify the roadway pavement smoothness category in the General Notes if it is not HRI Category II.  This specification requires a Force Account item for incentive payment.</w:t>
      </w:r>
    </w:p>
    <w:p w14:paraId="7B16C21B" w14:textId="77777777" w:rsidR="00FB2F3A" w:rsidRPr="00A53B93" w:rsidRDefault="00FB2F3A" w:rsidP="00FB2F3A">
      <w:pPr>
        <w:pStyle w:val="BodyText"/>
        <w:keepLines/>
        <w:tabs>
          <w:tab w:val="left" w:pos="1440"/>
          <w:tab w:val="left" w:pos="3600"/>
          <w:tab w:val="left" w:pos="4680"/>
        </w:tabs>
        <w:ind w:right="-187"/>
        <w:outlineLvl w:val="0"/>
        <w:rPr>
          <w:rFonts w:ascii="Trebuchet MS" w:hAnsi="Trebuchet MS" w:cs="Arial"/>
        </w:rPr>
      </w:pPr>
      <w:r>
        <w:rPr>
          <w:rFonts w:ascii="Trebuchet MS" w:hAnsi="Trebuchet MS" w:cs="Arial"/>
        </w:rPr>
        <w:t>The use of this revised standard special provision is mandatory on projects advertised on or after June 5, 2011.  You are free to use it in projects advertised before this date.</w:t>
      </w:r>
    </w:p>
    <w:p w14:paraId="3321826A" w14:textId="77777777" w:rsidR="00FB2F3A" w:rsidRDefault="00FB2F3A" w:rsidP="00FB2F3A">
      <w:pPr>
        <w:pStyle w:val="BodyText"/>
        <w:keepLines/>
        <w:tabs>
          <w:tab w:val="left" w:pos="1440"/>
          <w:tab w:val="left" w:pos="3600"/>
          <w:tab w:val="left" w:pos="4680"/>
        </w:tabs>
        <w:spacing w:after="0"/>
        <w:ind w:right="-187"/>
        <w:outlineLvl w:val="0"/>
        <w:rPr>
          <w:rFonts w:ascii="Trebuchet MS" w:hAnsi="Trebuchet MS" w:cs="Arial"/>
        </w:rPr>
      </w:pPr>
      <w:r w:rsidRPr="00A53B93">
        <w:rPr>
          <w:rFonts w:ascii="Trebuchet MS" w:hAnsi="Trebuchet MS" w:cs="Arial"/>
        </w:rPr>
        <w:t xml:space="preserve">The modifications in this </w:t>
      </w:r>
      <w:r>
        <w:rPr>
          <w:rFonts w:ascii="Trebuchet MS" w:hAnsi="Trebuchet MS" w:cs="Arial"/>
        </w:rPr>
        <w:t>revision upgrade the</w:t>
      </w:r>
      <w:r w:rsidRPr="00A53B93">
        <w:rPr>
          <w:rFonts w:ascii="Trebuchet MS" w:hAnsi="Trebuchet MS" w:cs="Arial"/>
        </w:rPr>
        <w:t xml:space="preserve"> HMA pavement smoothness requirements.  They require full lane grinding for corrective work, and change the terminology for urban, thin and recycling treatments to HRI Category IV.</w:t>
      </w:r>
    </w:p>
    <w:p w14:paraId="2794F90C" w14:textId="77777777" w:rsidR="00FB2F3A" w:rsidRDefault="00FB2F3A" w:rsidP="00FB2F3A">
      <w:pPr>
        <w:pStyle w:val="BodyText"/>
        <w:keepLines/>
        <w:tabs>
          <w:tab w:val="left" w:pos="1440"/>
          <w:tab w:val="left" w:pos="3600"/>
          <w:tab w:val="left" w:pos="4680"/>
        </w:tabs>
        <w:spacing w:after="0"/>
        <w:ind w:right="-187"/>
        <w:outlineLvl w:val="0"/>
        <w:rPr>
          <w:rFonts w:ascii="Trebuchet MS" w:hAnsi="Trebuchet MS" w:cs="Arial"/>
        </w:rPr>
      </w:pPr>
    </w:p>
    <w:p w14:paraId="1923015A" w14:textId="77777777" w:rsidR="00FB2F3A" w:rsidRPr="00AD69E9" w:rsidRDefault="00FB2F3A" w:rsidP="00FB2F3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Those of you who keep books of Standard Special Provisions should replace the now obsolete standard special provision with this revised version.  The CDOT Construction Specifications web site has been updated to reflect the issuance of this and other special provisions.</w:t>
      </w:r>
    </w:p>
    <w:p w14:paraId="6EF791D0" w14:textId="77777777" w:rsidR="00FB2F3A" w:rsidRPr="00AD69E9" w:rsidRDefault="00FB2F3A" w:rsidP="00FB2F3A">
      <w:pPr>
        <w:pStyle w:val="BodyText"/>
        <w:keepLines/>
        <w:tabs>
          <w:tab w:val="left" w:pos="1440"/>
          <w:tab w:val="left" w:pos="3600"/>
          <w:tab w:val="left" w:pos="4680"/>
        </w:tabs>
        <w:spacing w:after="0"/>
        <w:ind w:right="-187"/>
        <w:outlineLvl w:val="0"/>
        <w:rPr>
          <w:rFonts w:ascii="Trebuchet MS" w:hAnsi="Trebuchet MS" w:cs="Arial"/>
        </w:rPr>
      </w:pPr>
    </w:p>
    <w:p w14:paraId="2AA1DAA4" w14:textId="77777777" w:rsidR="00FB2F3A" w:rsidRPr="00AD69E9" w:rsidRDefault="00FB2F3A" w:rsidP="00FB2F3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 xml:space="preserve">For your convenience, however, you will find this standard special provision and other special provisions that have been issued effective this date in one place on the web site: </w:t>
      </w:r>
    </w:p>
    <w:p w14:paraId="1E4D85A5" w14:textId="77777777" w:rsidR="00FB2F3A" w:rsidRPr="00AD69E9" w:rsidRDefault="00FB2F3A" w:rsidP="00FB2F3A">
      <w:pPr>
        <w:pStyle w:val="BodyText"/>
        <w:keepLines/>
        <w:tabs>
          <w:tab w:val="left" w:pos="1440"/>
          <w:tab w:val="left" w:pos="3600"/>
          <w:tab w:val="left" w:pos="4680"/>
        </w:tabs>
        <w:spacing w:after="0"/>
        <w:ind w:right="-187"/>
        <w:rPr>
          <w:rFonts w:ascii="Trebuchet MS" w:hAnsi="Trebuchet MS"/>
        </w:rPr>
      </w:pPr>
    </w:p>
    <w:p w14:paraId="1F0CCA09" w14:textId="77777777" w:rsidR="00FB2F3A" w:rsidRPr="00AD69E9" w:rsidRDefault="00FB2F3A" w:rsidP="00FB2F3A">
      <w:pPr>
        <w:pStyle w:val="BodyText"/>
        <w:keepLines/>
        <w:tabs>
          <w:tab w:val="left" w:pos="1440"/>
          <w:tab w:val="left" w:pos="3600"/>
          <w:tab w:val="left" w:pos="4680"/>
        </w:tabs>
        <w:spacing w:after="0"/>
        <w:ind w:right="-187"/>
        <w:rPr>
          <w:rFonts w:ascii="Trebuchet MS" w:hAnsi="Trebuchet MS" w:cs="Arial"/>
        </w:rPr>
      </w:pPr>
      <w:hyperlink r:id="rId10" w:history="1">
        <w:r w:rsidRPr="00AD69E9">
          <w:rPr>
            <w:rStyle w:val="Hyperlink"/>
            <w:rFonts w:ascii="Trebuchet MS" w:hAnsi="Trebuchet MS" w:cs="Arial"/>
          </w:rPr>
          <w:t>http://www.coloradodot.info/business/designsupport/construction-specifications/2011-Specs/recently-issued-special-provisions</w:t>
        </w:r>
      </w:hyperlink>
    </w:p>
    <w:p w14:paraId="48AF6C7F" w14:textId="77777777" w:rsidR="00FB2F3A" w:rsidRPr="00AD69E9" w:rsidRDefault="00FB2F3A" w:rsidP="00FB2F3A">
      <w:pPr>
        <w:pStyle w:val="BodyText"/>
        <w:keepLines/>
        <w:tabs>
          <w:tab w:val="left" w:pos="1440"/>
          <w:tab w:val="left" w:pos="3600"/>
          <w:tab w:val="left" w:pos="4680"/>
        </w:tabs>
        <w:spacing w:after="0"/>
        <w:ind w:right="-187"/>
        <w:rPr>
          <w:rFonts w:ascii="Trebuchet MS" w:hAnsi="Trebuchet MS" w:cs="Arial"/>
        </w:rPr>
      </w:pPr>
    </w:p>
    <w:p w14:paraId="0CE22AF1" w14:textId="77777777" w:rsidR="00FB2F3A" w:rsidRDefault="00FB2F3A" w:rsidP="00FB2F3A">
      <w:pPr>
        <w:pStyle w:val="BodyText"/>
        <w:keepLines/>
        <w:tabs>
          <w:tab w:val="left" w:pos="1440"/>
          <w:tab w:val="left" w:pos="3600"/>
          <w:tab w:val="left" w:pos="4680"/>
        </w:tabs>
        <w:spacing w:after="0"/>
        <w:ind w:right="-187"/>
        <w:rPr>
          <w:rFonts w:ascii="Trebuchet MS" w:hAnsi="Trebuchet MS" w:cs="Arial"/>
        </w:rPr>
      </w:pPr>
      <w:r w:rsidRPr="00AD69E9">
        <w:rPr>
          <w:rFonts w:ascii="Trebuchet MS" w:hAnsi="Trebuchet MS" w:cs="Arial"/>
        </w:rPr>
        <w:t>If you have any questions or comments, please contact this office.</w:t>
      </w:r>
    </w:p>
    <w:p w14:paraId="7ED7F9AB" w14:textId="77777777" w:rsidR="00FB2F3A" w:rsidRDefault="00FB2F3A" w:rsidP="00AD69E9">
      <w:pPr>
        <w:pStyle w:val="BodyText"/>
        <w:keepLines/>
        <w:tabs>
          <w:tab w:val="left" w:pos="1440"/>
          <w:tab w:val="left" w:pos="3600"/>
          <w:tab w:val="left" w:pos="4680"/>
        </w:tabs>
        <w:ind w:left="1440" w:right="-187" w:hanging="1440"/>
        <w:outlineLvl w:val="0"/>
        <w:rPr>
          <w:rFonts w:ascii="Trebuchet MS" w:hAnsi="Trebuchet MS" w:cs="Arial"/>
        </w:rPr>
      </w:pPr>
      <w:bookmarkStart w:id="0" w:name="_GoBack"/>
      <w:bookmarkEnd w:id="0"/>
    </w:p>
    <w:p w14:paraId="4064507A" w14:textId="38C5DB56" w:rsidR="00AD69E9" w:rsidRPr="00AD69E9"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rPr>
        <w:tab/>
      </w:r>
    </w:p>
    <w:p w14:paraId="15C56EB1" w14:textId="77777777" w:rsidR="0019563C" w:rsidRPr="00AD69E9" w:rsidRDefault="0019563C"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2A3E" w14:textId="77777777" w:rsidR="00BC1E2A" w:rsidRDefault="00BC1E2A" w:rsidP="00370CDA">
      <w:r>
        <w:separator/>
      </w:r>
    </w:p>
  </w:endnote>
  <w:endnote w:type="continuationSeparator" w:id="0">
    <w:p w14:paraId="393D998C" w14:textId="77777777" w:rsidR="00BC1E2A" w:rsidRDefault="00BC1E2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32C0D58">
              <wp:simplePos x="0" y="0"/>
              <wp:positionH relativeFrom="column">
                <wp:posOffset>0</wp:posOffset>
              </wp:positionH>
              <wp:positionV relativeFrom="paragraph">
                <wp:posOffset>814070</wp:posOffset>
              </wp:positionV>
              <wp:extent cx="5367655" cy="228600"/>
              <wp:effectExtent l="0" t="127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CQmPKMg8rA634AP32AfWizTVUNd6L6rhAXq5bwLb2RUowtJTXQ881N99nV&#10;CUcZkM34SdQQh+y0sECHRvamdlANBOjQpsdTawyXCjajy3gRRxFGFZwFQRJ7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XetuYsAIAAKoFAAAOAAAA&#10;AAAAAAAAAAAAAC4CAABkcnMvZTJvRG9jLnhtbFBLAQItABQABgAIAAAAIQBOZyIa3QAAAAgBAAAP&#10;AAAAAAAAAAAAAAAAAAoFAABkcnMvZG93bnJldi54bWxQSwUGAAAAAAQABADzAAAAFAYAAAAA&#10;" filled="f" stroked="f">
              <v:textbox inset="0,0,0,0">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4A49C" w14:textId="77777777" w:rsidR="00BC1E2A" w:rsidRDefault="00BC1E2A" w:rsidP="00370CDA">
      <w:r>
        <w:separator/>
      </w:r>
    </w:p>
  </w:footnote>
  <w:footnote w:type="continuationSeparator" w:id="0">
    <w:p w14:paraId="651A95FD" w14:textId="77777777" w:rsidR="00BC1E2A" w:rsidRDefault="00BC1E2A"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86C70"/>
    <w:rsid w:val="0019563C"/>
    <w:rsid w:val="00283E9E"/>
    <w:rsid w:val="00370CDA"/>
    <w:rsid w:val="003C6112"/>
    <w:rsid w:val="004569A4"/>
    <w:rsid w:val="004646B6"/>
    <w:rsid w:val="004744F3"/>
    <w:rsid w:val="00532AC2"/>
    <w:rsid w:val="0058513F"/>
    <w:rsid w:val="005D6B6D"/>
    <w:rsid w:val="00713F9C"/>
    <w:rsid w:val="00766707"/>
    <w:rsid w:val="007918A9"/>
    <w:rsid w:val="0093767A"/>
    <w:rsid w:val="009B7DA8"/>
    <w:rsid w:val="009F63B1"/>
    <w:rsid w:val="00AD69E9"/>
    <w:rsid w:val="00B71CC0"/>
    <w:rsid w:val="00BB0E30"/>
    <w:rsid w:val="00BB4F18"/>
    <w:rsid w:val="00BB5A81"/>
    <w:rsid w:val="00BC1E2A"/>
    <w:rsid w:val="00CA6E16"/>
    <w:rsid w:val="00D10630"/>
    <w:rsid w:val="00D33DC1"/>
    <w:rsid w:val="00D55128"/>
    <w:rsid w:val="00DC62AA"/>
    <w:rsid w:val="00E77696"/>
    <w:rsid w:val="00EB6486"/>
    <w:rsid w:val="00EE405D"/>
    <w:rsid w:val="00EF64A8"/>
    <w:rsid w:val="00F82F79"/>
    <w:rsid w:val="00FB2F3A"/>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2014-05-07T15:47:00Z</dcterms:created>
  <dcterms:modified xsi:type="dcterms:W3CDTF">2014-05-07T15:47:00Z</dcterms:modified>
</cp:coreProperties>
</file>