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2C" w:rsidRDefault="001B472C" w:rsidP="00D16104"/>
    <w:p w:rsidR="00FF4B17" w:rsidRPr="00A82D6A" w:rsidRDefault="001B472C" w:rsidP="005D14B7">
      <w:pPr>
        <w:tabs>
          <w:tab w:val="right" w:pos="8640"/>
        </w:tabs>
        <w:rPr>
          <w:rFonts w:ascii="Arial" w:hAnsi="Arial" w:cs="Arial"/>
          <w:b/>
          <w:bCs/>
          <w:sz w:val="28"/>
          <w:szCs w:val="28"/>
        </w:rPr>
      </w:pPr>
      <w:r>
        <w:rPr>
          <w:sz w:val="22"/>
        </w:rPr>
        <w:tab/>
      </w:r>
      <w:r w:rsidR="005D14B7" w:rsidRPr="00A82D6A">
        <w:rPr>
          <w:sz w:val="28"/>
          <w:szCs w:val="28"/>
        </w:rPr>
        <w:t>May 8, 2014</w:t>
      </w:r>
    </w:p>
    <w:p w:rsidR="00FF4B17" w:rsidRDefault="00FF4B17">
      <w:pPr>
        <w:pStyle w:val="Heading1"/>
        <w:rPr>
          <w:sz w:val="28"/>
        </w:rPr>
      </w:pPr>
      <w:bookmarkStart w:id="0" w:name="_GoBack"/>
      <w:bookmarkEnd w:id="0"/>
    </w:p>
    <w:p w:rsidR="00FF4B17" w:rsidRDefault="00FF4B17">
      <w:pPr>
        <w:pStyle w:val="Heading1"/>
        <w:rPr>
          <w:sz w:val="28"/>
        </w:rPr>
      </w:pPr>
      <w:r>
        <w:rPr>
          <w:sz w:val="28"/>
        </w:rPr>
        <w:t>REVISION OF SECTION 630</w:t>
      </w:r>
    </w:p>
    <w:p w:rsidR="00FF4B17" w:rsidRDefault="00FF4B17">
      <w:pPr>
        <w:jc w:val="center"/>
        <w:rPr>
          <w:rFonts w:ascii="Arial" w:hAnsi="Arial" w:cs="Arial"/>
          <w:b/>
          <w:bCs/>
          <w:sz w:val="28"/>
        </w:rPr>
      </w:pPr>
      <w:r>
        <w:rPr>
          <w:rFonts w:ascii="Arial" w:hAnsi="Arial" w:cs="Arial"/>
          <w:b/>
          <w:bCs/>
          <w:sz w:val="28"/>
        </w:rPr>
        <w:t>RETROREFLECTIVE SIGN SHEETING</w:t>
      </w:r>
    </w:p>
    <w:p w:rsidR="00FF4B17" w:rsidRDefault="00FF4B17">
      <w:pPr>
        <w:pStyle w:val="Heading2"/>
      </w:pPr>
    </w:p>
    <w:p w:rsidR="00FF4B17" w:rsidRPr="00DE0469" w:rsidRDefault="00FF4B17">
      <w:pPr>
        <w:jc w:val="center"/>
        <w:rPr>
          <w:b/>
          <w:bCs/>
          <w:sz w:val="44"/>
          <w:szCs w:val="44"/>
        </w:rPr>
      </w:pPr>
      <w:r w:rsidRPr="00DE0469">
        <w:rPr>
          <w:b/>
          <w:bCs/>
          <w:sz w:val="44"/>
          <w:szCs w:val="44"/>
        </w:rPr>
        <w:t>NOTICE</w:t>
      </w:r>
    </w:p>
    <w:p w:rsidR="00FF4B17" w:rsidRDefault="00FF4B17">
      <w:pPr>
        <w:rPr>
          <w:sz w:val="28"/>
        </w:rPr>
      </w:pPr>
    </w:p>
    <w:p w:rsidR="00FF4B17" w:rsidRDefault="00FF4B17">
      <w:pPr>
        <w:jc w:val="both"/>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FF4B17" w:rsidRDefault="00FF4B17">
      <w:pPr>
        <w:jc w:val="both"/>
        <w:rPr>
          <w:sz w:val="28"/>
        </w:rPr>
      </w:pPr>
    </w:p>
    <w:p w:rsidR="00FF4B17" w:rsidRDefault="00FF4B17">
      <w:pPr>
        <w:jc w:val="both"/>
        <w:rPr>
          <w:sz w:val="28"/>
        </w:rPr>
      </w:pPr>
      <w:r>
        <w:rPr>
          <w:sz w:val="28"/>
        </w:rPr>
        <w:t xml:space="preserve">Other agencies that use the </w:t>
      </w:r>
      <w:r>
        <w:rPr>
          <w:i/>
          <w:sz w:val="28"/>
        </w:rPr>
        <w:t>Standard Specifications for Road and Bridge Construction</w:t>
      </w:r>
      <w:r>
        <w:rPr>
          <w:sz w:val="28"/>
        </w:rPr>
        <w:t xml:space="preserve"> to administer construction projects may use this special provision as appropriate and at their own risk.</w:t>
      </w:r>
    </w:p>
    <w:p w:rsidR="00FF4B17" w:rsidRDefault="00FF4B17">
      <w:pPr>
        <w:rPr>
          <w:sz w:val="28"/>
        </w:rPr>
      </w:pPr>
    </w:p>
    <w:p w:rsidR="00FF4B17" w:rsidRDefault="00FF4B17" w:rsidP="00DE04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F4B17" w:rsidRDefault="00FF4B17">
      <w:pPr>
        <w:jc w:val="both"/>
        <w:rPr>
          <w:sz w:val="28"/>
        </w:rPr>
      </w:pPr>
    </w:p>
    <w:p w:rsidR="00FF4B17" w:rsidRDefault="00FF4B17" w:rsidP="005D14B7">
      <w:pPr>
        <w:rPr>
          <w:rFonts w:ascii="Arial" w:hAnsi="Arial" w:cs="Arial"/>
          <w:sz w:val="22"/>
        </w:rPr>
      </w:pPr>
      <w:r>
        <w:rPr>
          <w:sz w:val="28"/>
        </w:rPr>
        <w:t>Use this standard special provision on all projects.</w:t>
      </w:r>
    </w:p>
    <w:p w:rsidR="00FF4B17" w:rsidRPr="00DE3D2D" w:rsidRDefault="00FF4B17" w:rsidP="006E7D97">
      <w:pPr>
        <w:jc w:val="right"/>
        <w:rPr>
          <w:rFonts w:ascii="Arial" w:hAnsi="Arial" w:cs="Arial"/>
        </w:rPr>
      </w:pPr>
      <w:r>
        <w:rPr>
          <w:rFonts w:ascii="Arial" w:hAnsi="Arial" w:cs="Arial"/>
          <w:b/>
          <w:bCs/>
          <w:sz w:val="28"/>
        </w:rPr>
        <w:br w:type="page"/>
      </w:r>
      <w:r w:rsidR="005D14B7">
        <w:rPr>
          <w:rFonts w:ascii="Arial" w:hAnsi="Arial" w:cs="Arial"/>
          <w:bCs/>
        </w:rPr>
        <w:lastRenderedPageBreak/>
        <w:t>May 8, 2014</w:t>
      </w:r>
    </w:p>
    <w:p w:rsidR="00FF4B17" w:rsidRDefault="00FF4B17">
      <w:pPr>
        <w:tabs>
          <w:tab w:val="right" w:pos="10080"/>
        </w:tabs>
        <w:spacing w:line="240" w:lineRule="exact"/>
        <w:jc w:val="center"/>
        <w:rPr>
          <w:rFonts w:ascii="Arial" w:hAnsi="Arial" w:cs="Arial"/>
        </w:rPr>
      </w:pPr>
    </w:p>
    <w:p w:rsidR="00FF4B17" w:rsidRDefault="00FF4B17">
      <w:pPr>
        <w:tabs>
          <w:tab w:val="right" w:pos="10080"/>
        </w:tabs>
        <w:spacing w:line="240" w:lineRule="exact"/>
        <w:jc w:val="center"/>
        <w:rPr>
          <w:rFonts w:ascii="Arial" w:hAnsi="Arial" w:cs="Arial"/>
        </w:rPr>
      </w:pPr>
      <w:r>
        <w:rPr>
          <w:rFonts w:ascii="Arial" w:hAnsi="Arial" w:cs="Arial"/>
        </w:rPr>
        <w:t>REVISION OF SECTION 630</w:t>
      </w:r>
    </w:p>
    <w:p w:rsidR="00FF4B17" w:rsidRDefault="00FF4B17">
      <w:pPr>
        <w:pStyle w:val="Heading2"/>
        <w:rPr>
          <w:rFonts w:cs="Arial"/>
          <w:b w:val="0"/>
          <w:color w:val="auto"/>
        </w:rPr>
      </w:pPr>
      <w:r>
        <w:rPr>
          <w:rFonts w:cs="Arial"/>
          <w:b w:val="0"/>
          <w:color w:val="auto"/>
        </w:rPr>
        <w:t>RETROREFLECTIVE</w:t>
      </w:r>
      <w:r>
        <w:rPr>
          <w:rFonts w:cs="Arial"/>
          <w:b w:val="0"/>
        </w:rPr>
        <w:t xml:space="preserve"> </w:t>
      </w:r>
      <w:r>
        <w:rPr>
          <w:rFonts w:cs="Arial"/>
          <w:b w:val="0"/>
          <w:color w:val="auto"/>
        </w:rPr>
        <w:t>SIGN</w:t>
      </w:r>
      <w:r>
        <w:rPr>
          <w:rFonts w:cs="Arial"/>
          <w:b w:val="0"/>
        </w:rPr>
        <w:t xml:space="preserve"> </w:t>
      </w:r>
      <w:r>
        <w:rPr>
          <w:rFonts w:cs="Arial"/>
          <w:b w:val="0"/>
          <w:color w:val="auto"/>
        </w:rPr>
        <w:t>SHEETING</w:t>
      </w:r>
    </w:p>
    <w:p w:rsidR="00FF4B17" w:rsidRDefault="00FF4B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both"/>
      </w:pPr>
    </w:p>
    <w:p w:rsidR="00FF4B17" w:rsidRDefault="00FF4B17" w:rsidP="007A6751">
      <w:pPr>
        <w:rPr>
          <w:rFonts w:ascii="Arial" w:hAnsi="Arial" w:cs="Arial"/>
        </w:rPr>
      </w:pPr>
      <w:r w:rsidRPr="007A6751">
        <w:rPr>
          <w:rFonts w:ascii="Arial" w:hAnsi="Arial" w:cs="Arial"/>
        </w:rPr>
        <w:t xml:space="preserve">Section 630 of the Standard Specifications </w:t>
      </w:r>
      <w:r>
        <w:rPr>
          <w:rFonts w:ascii="Arial" w:hAnsi="Arial" w:cs="Arial"/>
        </w:rPr>
        <w:t>is</w:t>
      </w:r>
      <w:r w:rsidRPr="007A6751">
        <w:rPr>
          <w:rFonts w:ascii="Arial" w:hAnsi="Arial" w:cs="Arial"/>
        </w:rPr>
        <w:t xml:space="preserve"> hereby revised for this project as follows:</w:t>
      </w:r>
    </w:p>
    <w:p w:rsidR="00FF4B17" w:rsidRPr="007A6751" w:rsidRDefault="00FF4B17" w:rsidP="007A6751">
      <w:pPr>
        <w:rPr>
          <w:rFonts w:ascii="Arial" w:hAnsi="Arial" w:cs="Arial"/>
        </w:rPr>
      </w:pPr>
    </w:p>
    <w:p w:rsidR="00FF4B17" w:rsidRDefault="00FF4B17" w:rsidP="007A6751">
      <w:pPr>
        <w:rPr>
          <w:rFonts w:ascii="Arial" w:hAnsi="Arial" w:cs="Arial"/>
        </w:rPr>
      </w:pPr>
      <w:r w:rsidRPr="007A6751">
        <w:rPr>
          <w:rFonts w:ascii="Arial" w:hAnsi="Arial" w:cs="Arial"/>
        </w:rPr>
        <w:t xml:space="preserve">In subsection 630.02, delete the </w:t>
      </w:r>
      <w:r>
        <w:rPr>
          <w:rFonts w:ascii="Arial" w:hAnsi="Arial" w:cs="Arial"/>
        </w:rPr>
        <w:t>sixth</w:t>
      </w:r>
      <w:r w:rsidRPr="007A6751">
        <w:rPr>
          <w:rFonts w:ascii="Arial" w:hAnsi="Arial" w:cs="Arial"/>
        </w:rPr>
        <w:t xml:space="preserve"> </w:t>
      </w:r>
      <w:r>
        <w:rPr>
          <w:rFonts w:ascii="Arial" w:hAnsi="Arial" w:cs="Arial"/>
        </w:rPr>
        <w:t xml:space="preserve">and seventh </w:t>
      </w:r>
      <w:r w:rsidRPr="007A6751">
        <w:rPr>
          <w:rFonts w:ascii="Arial" w:hAnsi="Arial" w:cs="Arial"/>
        </w:rPr>
        <w:t>paragraph</w:t>
      </w:r>
      <w:r>
        <w:rPr>
          <w:rFonts w:ascii="Arial" w:hAnsi="Arial" w:cs="Arial"/>
        </w:rPr>
        <w:t>s</w:t>
      </w:r>
      <w:r w:rsidRPr="007A6751">
        <w:rPr>
          <w:rFonts w:ascii="Arial" w:hAnsi="Arial" w:cs="Arial"/>
        </w:rPr>
        <w:t>, including Table 630-1, and replace</w:t>
      </w:r>
      <w:r>
        <w:rPr>
          <w:rFonts w:ascii="Arial" w:hAnsi="Arial" w:cs="Arial"/>
        </w:rPr>
        <w:t xml:space="preserve"> them</w:t>
      </w:r>
      <w:r w:rsidRPr="007A6751">
        <w:rPr>
          <w:rFonts w:ascii="Arial" w:hAnsi="Arial" w:cs="Arial"/>
        </w:rPr>
        <w:t xml:space="preserve"> with the following:</w:t>
      </w:r>
    </w:p>
    <w:p w:rsidR="00FF4B17" w:rsidRPr="007A6751" w:rsidRDefault="00FF4B17" w:rsidP="007A6751">
      <w:pPr>
        <w:rPr>
          <w:rFonts w:ascii="Arial" w:hAnsi="Arial" w:cs="Arial"/>
        </w:rPr>
      </w:pPr>
    </w:p>
    <w:p w:rsidR="00FF4B17" w:rsidRDefault="00FF4B17" w:rsidP="00226A13">
      <w:pPr>
        <w:rPr>
          <w:rFonts w:ascii="Arial" w:hAnsi="Arial" w:cs="Arial"/>
        </w:rPr>
      </w:pPr>
      <w:proofErr w:type="spellStart"/>
      <w:r w:rsidRPr="001425C4">
        <w:rPr>
          <w:rFonts w:ascii="Arial" w:hAnsi="Arial" w:cs="Arial"/>
        </w:rPr>
        <w:t>Retroreflective</w:t>
      </w:r>
      <w:proofErr w:type="spellEnd"/>
      <w:r w:rsidRPr="001425C4">
        <w:rPr>
          <w:rFonts w:ascii="Arial" w:hAnsi="Arial" w:cs="Arial"/>
        </w:rPr>
        <w:t xml:space="preserve"> sheeting for all signs requiring an orange background shall be Type VI or Type Fluorescent. </w:t>
      </w:r>
    </w:p>
    <w:p w:rsidR="00FF4B17" w:rsidRDefault="00FF4B17" w:rsidP="00226A13">
      <w:pPr>
        <w:rPr>
          <w:rFonts w:ascii="Arial" w:hAnsi="Arial" w:cs="Arial"/>
        </w:rPr>
      </w:pPr>
    </w:p>
    <w:p w:rsidR="00FF4B17" w:rsidRDefault="00FF4B17" w:rsidP="00226A13">
      <w:pPr>
        <w:rPr>
          <w:rFonts w:ascii="Arial" w:hAnsi="Arial" w:cs="Arial"/>
        </w:rPr>
      </w:pPr>
      <w:proofErr w:type="spellStart"/>
      <w:r>
        <w:rPr>
          <w:rFonts w:ascii="Arial" w:hAnsi="Arial" w:cs="Arial"/>
        </w:rPr>
        <w:t>R</w:t>
      </w:r>
      <w:r w:rsidRPr="001425C4">
        <w:rPr>
          <w:rFonts w:ascii="Arial" w:hAnsi="Arial" w:cs="Arial"/>
        </w:rPr>
        <w:t>etroreflective</w:t>
      </w:r>
      <w:proofErr w:type="spellEnd"/>
      <w:r w:rsidRPr="001425C4">
        <w:rPr>
          <w:rFonts w:ascii="Arial" w:hAnsi="Arial" w:cs="Arial"/>
        </w:rPr>
        <w:t xml:space="preserve"> sheeting for all signs requiring a yellow background shall </w:t>
      </w:r>
      <w:r w:rsidR="00FD78C5">
        <w:rPr>
          <w:rFonts w:ascii="Arial" w:hAnsi="Arial" w:cs="Arial"/>
        </w:rPr>
        <w:t xml:space="preserve">be </w:t>
      </w:r>
      <w:r w:rsidRPr="001425C4">
        <w:rPr>
          <w:rFonts w:ascii="Arial" w:hAnsi="Arial" w:cs="Arial"/>
        </w:rPr>
        <w:t>Type Fluorescent.</w:t>
      </w:r>
    </w:p>
    <w:p w:rsidR="00FF4B17" w:rsidRDefault="00FF4B17">
      <w:pPr>
        <w:pStyle w:val="Heading2"/>
        <w:rPr>
          <w:bCs/>
          <w:caps/>
          <w:color w:val="auto"/>
        </w:rPr>
      </w:pPr>
    </w:p>
    <w:p w:rsidR="00FF4B17" w:rsidRDefault="00FF4B17">
      <w:pPr>
        <w:pStyle w:val="Heading2"/>
        <w:rPr>
          <w:bCs/>
          <w:caps/>
          <w:color w:val="auto"/>
        </w:rPr>
      </w:pPr>
      <w:r>
        <w:rPr>
          <w:bCs/>
          <w:caps/>
          <w:color w:val="auto"/>
        </w:rPr>
        <w:t>T</w:t>
      </w:r>
      <w:r w:rsidRPr="00A228FC">
        <w:rPr>
          <w:bCs/>
          <w:color w:val="auto"/>
        </w:rPr>
        <w:t xml:space="preserve">able </w:t>
      </w:r>
      <w:r>
        <w:rPr>
          <w:bCs/>
          <w:caps/>
          <w:color w:val="auto"/>
        </w:rPr>
        <w:t>630-1</w:t>
      </w:r>
    </w:p>
    <w:p w:rsidR="00FF4B17" w:rsidRDefault="00FF4B17">
      <w:pPr>
        <w:pStyle w:val="Heading1"/>
        <w:rPr>
          <w:rFonts w:cs="Arial"/>
          <w:bCs/>
          <w:caps/>
        </w:rPr>
      </w:pPr>
      <w:r>
        <w:rPr>
          <w:rFonts w:cs="Arial"/>
          <w:bCs/>
          <w:caps/>
        </w:rPr>
        <w:t>Retroreflective Sheeting Types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74"/>
        <w:gridCol w:w="2574"/>
        <w:gridCol w:w="2574"/>
        <w:gridCol w:w="2574"/>
      </w:tblGrid>
      <w:tr w:rsidR="005D14B7" w:rsidRPr="005D14B7" w:rsidTr="0079219D">
        <w:tc>
          <w:tcPr>
            <w:tcW w:w="2574" w:type="dxa"/>
            <w:tcBorders>
              <w:top w:val="double" w:sz="4" w:space="0" w:color="auto"/>
              <w:left w:val="double" w:sz="4" w:space="0" w:color="auto"/>
              <w:bottom w:val="single" w:sz="6" w:space="0" w:color="auto"/>
              <w:right w:val="single" w:sz="6" w:space="0" w:color="auto"/>
            </w:tcBorders>
            <w:shd w:val="clear"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Sheeting</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rsidR="00FF4B17" w:rsidRPr="005D14B7" w:rsidRDefault="00FF4B17" w:rsidP="005D14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IV</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VI</w:t>
            </w: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(Roll-up sign material)</w:t>
            </w:r>
          </w:p>
        </w:tc>
        <w:tc>
          <w:tcPr>
            <w:tcW w:w="2574" w:type="dxa"/>
            <w:tcBorders>
              <w:top w:val="double" w:sz="4" w:space="0" w:color="auto"/>
              <w:left w:val="single" w:sz="6" w:space="0" w:color="auto"/>
              <w:bottom w:val="single" w:sz="6" w:space="0" w:color="auto"/>
              <w:right w:val="double" w:sz="4" w:space="0" w:color="auto"/>
            </w:tcBorders>
            <w:shd w:val="clear"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Fluorescent</w:t>
            </w:r>
            <w:r w:rsidRPr="005D14B7">
              <w:rPr>
                <w:rFonts w:ascii="Arial" w:hAnsi="Arial" w:cs="Arial"/>
                <w:b/>
                <w:sz w:val="18"/>
                <w:szCs w:val="18"/>
                <w:vertAlign w:val="superscript"/>
              </w:rPr>
              <w:t>1</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Application</w:t>
            </w:r>
          </w:p>
        </w:tc>
        <w:tc>
          <w:tcPr>
            <w:tcW w:w="2574" w:type="dxa"/>
            <w:tcBorders>
              <w:top w:val="single" w:sz="6" w:space="0" w:color="auto"/>
              <w:left w:val="single" w:sz="6"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double" w:sz="4"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shd w:val="solid"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Orange Construction Signs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Orange Construction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Del="007E7F7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4</w:t>
            </w:r>
          </w:p>
        </w:tc>
        <w:tc>
          <w:tcPr>
            <w:tcW w:w="2574" w:type="dxa"/>
            <w:tcBorders>
              <w:top w:val="single" w:sz="6" w:space="0" w:color="auto"/>
              <w:left w:val="single" w:sz="6" w:space="0" w:color="auto"/>
              <w:bottom w:val="single" w:sz="6" w:space="0" w:color="auto"/>
              <w:right w:val="double" w:sz="4"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shd w:val="solid"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Barricades (Temporary)</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Vertical Panels</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shd w:val="solid"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Flaggers Stop/Slow Paddle</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5D14B7">
        <w:trPr>
          <w:trHeight w:val="336"/>
        </w:trPr>
        <w:tc>
          <w:tcPr>
            <w:tcW w:w="2574" w:type="dxa"/>
            <w:tcBorders>
              <w:top w:val="single" w:sz="6" w:space="0" w:color="auto"/>
              <w:left w:val="double" w:sz="4" w:space="0" w:color="auto"/>
              <w:bottom w:val="single" w:sz="6" w:space="0" w:color="auto"/>
              <w:right w:val="single" w:sz="6" w:space="0" w:color="auto"/>
            </w:tcBorders>
            <w:vAlign w:val="center"/>
          </w:tcPr>
          <w:p w:rsidR="00FF4B17" w:rsidRPr="005D14B7" w:rsidRDefault="00FF4B17" w:rsidP="005D14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Drums</w:t>
            </w:r>
            <w:r w:rsidRPr="005D14B7">
              <w:rPr>
                <w:rFonts w:ascii="Arial" w:hAnsi="Arial" w:cs="Arial"/>
                <w:b/>
                <w:sz w:val="18"/>
                <w:szCs w:val="18"/>
                <w:vertAlign w:val="superscript"/>
              </w:rPr>
              <w:t>2</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shd w:val="solid"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Non-orange Fixed Support signs with prefix “W”</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Special Warning Signs</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rPr>
          <w:trHeight w:val="958"/>
        </w:trPr>
        <w:tc>
          <w:tcPr>
            <w:tcW w:w="2574" w:type="dxa"/>
            <w:tcBorders>
              <w:top w:val="single" w:sz="6" w:space="0" w:color="auto"/>
              <w:left w:val="double" w:sz="4" w:space="0" w:color="auto"/>
              <w:bottom w:val="single" w:sz="6" w:space="0" w:color="auto"/>
              <w:right w:val="single" w:sz="6" w:space="0" w:color="auto"/>
            </w:tcBorders>
            <w:shd w:val="solid"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STOP sign (R1-1)</w:t>
            </w: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YIELD sign (R1-2)</w:t>
            </w: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WRONG WAY sign (R5-1a)</w:t>
            </w: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DO NOT ENTER sign (R5-1)</w:t>
            </w: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EXIT sign (E5-1a)</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5D14B7" w:rsidRPr="005D14B7" w:rsidTr="005D14B7">
        <w:trPr>
          <w:trHeight w:val="363"/>
        </w:trPr>
        <w:tc>
          <w:tcPr>
            <w:tcW w:w="2574" w:type="dxa"/>
            <w:tcBorders>
              <w:top w:val="single" w:sz="6" w:space="0" w:color="auto"/>
              <w:left w:val="double" w:sz="4"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 xml:space="preserve">DETOUR sign (M4-9) or </w:t>
            </w:r>
          </w:p>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(M4-10)</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5D14B7">
        <w:trPr>
          <w:trHeight w:val="318"/>
        </w:trPr>
        <w:tc>
          <w:tcPr>
            <w:tcW w:w="2574" w:type="dxa"/>
            <w:tcBorders>
              <w:top w:val="single" w:sz="6" w:space="0" w:color="auto"/>
              <w:left w:val="double" w:sz="4" w:space="0" w:color="auto"/>
              <w:bottom w:val="single" w:sz="6" w:space="0" w:color="auto"/>
              <w:right w:val="single" w:sz="6" w:space="0" w:color="auto"/>
            </w:tcBorders>
            <w:shd w:val="solid" w:color="C0C0C0" w:fill="FFFFFF"/>
            <w:vAlign w:val="center"/>
          </w:tcPr>
          <w:p w:rsidR="00FF4B17" w:rsidRPr="005D14B7" w:rsidRDefault="00FF4B17" w:rsidP="005D14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All other fixed support signs</w:t>
            </w:r>
            <w:r w:rsidRPr="005D14B7">
              <w:rPr>
                <w:rFonts w:ascii="Arial" w:hAnsi="Arial" w:cs="Arial"/>
                <w:b/>
                <w:sz w:val="18"/>
                <w:szCs w:val="18"/>
                <w:vertAlign w:val="superscript"/>
              </w:rPr>
              <w:t>3</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used only during working hours</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c>
          <w:tcPr>
            <w:tcW w:w="2574" w:type="dxa"/>
            <w:tcBorders>
              <w:top w:val="single" w:sz="6" w:space="0" w:color="auto"/>
              <w:left w:val="double" w:sz="4" w:space="0" w:color="auto"/>
              <w:bottom w:val="single" w:sz="6" w:space="0" w:color="auto"/>
              <w:right w:val="single" w:sz="6" w:space="0" w:color="auto"/>
            </w:tcBorders>
            <w:shd w:val="solid" w:color="C0C0C0" w:fill="FFFFFF"/>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5</w:t>
            </w: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rsidR="00FF4B17" w:rsidRPr="005D14B7" w:rsidRDefault="00FF4B17" w:rsidP="00792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D14B7" w:rsidRPr="005D14B7" w:rsidTr="0079219D">
        <w:tblPrEx>
          <w:tblBorders>
            <w:top w:val="single" w:sz="6" w:space="0" w:color="auto"/>
          </w:tblBorders>
          <w:shd w:val="clear" w:color="C0C0C0" w:fill="auto"/>
        </w:tblPrEx>
        <w:tc>
          <w:tcPr>
            <w:tcW w:w="10296" w:type="dxa"/>
            <w:gridSpan w:val="4"/>
            <w:tcBorders>
              <w:top w:val="single" w:sz="6" w:space="0" w:color="auto"/>
              <w:bottom w:val="double" w:sz="4" w:space="0" w:color="auto"/>
            </w:tcBorders>
            <w:shd w:val="clear" w:color="C0C0C0" w:fill="auto"/>
          </w:tcPr>
          <w:p w:rsidR="00FF4B17" w:rsidRPr="005D14B7" w:rsidRDefault="00FF4B17" w:rsidP="0079219D">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 xml:space="preserve">1   </w:t>
            </w:r>
            <w:r w:rsidRPr="005D14B7">
              <w:rPr>
                <w:rFonts w:ascii="Arial" w:hAnsi="Arial" w:cs="Arial"/>
                <w:sz w:val="18"/>
                <w:szCs w:val="18"/>
              </w:rPr>
              <w:t>Fluorescent Sheeting shall be of a brand that is on the CDOT Approved Products List.</w:t>
            </w:r>
          </w:p>
          <w:p w:rsidR="00FF4B17" w:rsidRPr="005D14B7" w:rsidRDefault="00FF4B17" w:rsidP="0079219D">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2</w:t>
            </w:r>
            <w:r w:rsidRPr="005D14B7">
              <w:rPr>
                <w:rFonts w:ascii="Arial" w:hAnsi="Arial" w:cs="Arial"/>
                <w:sz w:val="18"/>
                <w:szCs w:val="18"/>
              </w:rPr>
              <w:t xml:space="preserve">   Drum Sheeting shall be manufactured for flexible devices.</w:t>
            </w:r>
          </w:p>
          <w:p w:rsidR="00FF4B17" w:rsidRPr="005D14B7" w:rsidRDefault="00FF4B17" w:rsidP="0079219D">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270" w:hanging="270"/>
              <w:rPr>
                <w:rFonts w:ascii="Arial" w:hAnsi="Arial" w:cs="Arial"/>
                <w:sz w:val="18"/>
                <w:szCs w:val="18"/>
              </w:rPr>
            </w:pPr>
            <w:r w:rsidRPr="005D14B7">
              <w:rPr>
                <w:rFonts w:ascii="Arial" w:hAnsi="Arial" w:cs="Arial"/>
                <w:b/>
                <w:sz w:val="18"/>
                <w:szCs w:val="18"/>
              </w:rPr>
              <w:t>3</w:t>
            </w:r>
            <w:r w:rsidRPr="005D14B7">
              <w:rPr>
                <w:rFonts w:ascii="Arial" w:hAnsi="Arial" w:cs="Arial"/>
                <w:sz w:val="18"/>
                <w:szCs w:val="18"/>
              </w:rPr>
              <w:t xml:space="preserve">   Fixed support signs are defined as all signs that must remain in use outside of working hours.  They shall be mounted in accordance with Standard Plan S-630-1.</w:t>
            </w:r>
          </w:p>
          <w:p w:rsidR="00FF4B17" w:rsidRPr="005D14B7" w:rsidRDefault="00FF4B17" w:rsidP="0079219D">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4</w:t>
            </w:r>
            <w:r w:rsidRPr="005D14B7">
              <w:rPr>
                <w:rFonts w:ascii="Arial" w:hAnsi="Arial" w:cs="Arial"/>
                <w:sz w:val="18"/>
                <w:szCs w:val="18"/>
              </w:rPr>
              <w:t xml:space="preserve">   RS 24 only.</w:t>
            </w:r>
          </w:p>
          <w:p w:rsidR="00FF4B17" w:rsidRPr="005D14B7" w:rsidRDefault="00FF4B17" w:rsidP="005D14B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5</w:t>
            </w:r>
            <w:r w:rsidRPr="005D14B7">
              <w:rPr>
                <w:rFonts w:ascii="Arial" w:hAnsi="Arial" w:cs="Arial"/>
                <w:sz w:val="18"/>
                <w:szCs w:val="18"/>
              </w:rPr>
              <w:t xml:space="preserve">   White only.</w:t>
            </w:r>
          </w:p>
        </w:tc>
      </w:tr>
    </w:tbl>
    <w:p w:rsidR="00FF4B17" w:rsidRDefault="00FF4B17" w:rsidP="00F378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pPr>
    </w:p>
    <w:p w:rsidR="001B472C" w:rsidRDefault="00FF4B17" w:rsidP="00FF4B17">
      <w:pPr>
        <w:pStyle w:val="Heading1"/>
        <w:jc w:val="right"/>
      </w:pPr>
      <w:r>
        <w:t xml:space="preserve"> </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01" w:rsidRDefault="000E3B01" w:rsidP="00F878BD">
      <w:r>
        <w:separator/>
      </w:r>
    </w:p>
  </w:endnote>
  <w:endnote w:type="continuationSeparator" w:id="0">
    <w:p w:rsidR="000E3B01" w:rsidRDefault="000E3B0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01" w:rsidRDefault="000E3B01" w:rsidP="00F878BD">
      <w:r>
        <w:separator/>
      </w:r>
    </w:p>
  </w:footnote>
  <w:footnote w:type="continuationSeparator" w:id="0">
    <w:p w:rsidR="000E3B01" w:rsidRDefault="000E3B0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B01"/>
    <w:rsid w:val="000E3C78"/>
    <w:rsid w:val="001A7BED"/>
    <w:rsid w:val="001B472C"/>
    <w:rsid w:val="001C3F85"/>
    <w:rsid w:val="001E120F"/>
    <w:rsid w:val="00215468"/>
    <w:rsid w:val="00230276"/>
    <w:rsid w:val="003162A2"/>
    <w:rsid w:val="003823FC"/>
    <w:rsid w:val="003C3F1C"/>
    <w:rsid w:val="004249F3"/>
    <w:rsid w:val="00441D2F"/>
    <w:rsid w:val="004B09DE"/>
    <w:rsid w:val="004F1849"/>
    <w:rsid w:val="00514838"/>
    <w:rsid w:val="0056039E"/>
    <w:rsid w:val="00572D1D"/>
    <w:rsid w:val="005D14B7"/>
    <w:rsid w:val="006B1A52"/>
    <w:rsid w:val="00706DF8"/>
    <w:rsid w:val="0071231C"/>
    <w:rsid w:val="00726A77"/>
    <w:rsid w:val="0077176C"/>
    <w:rsid w:val="007735BF"/>
    <w:rsid w:val="007854AB"/>
    <w:rsid w:val="00814549"/>
    <w:rsid w:val="00870736"/>
    <w:rsid w:val="00891B09"/>
    <w:rsid w:val="008B3BFC"/>
    <w:rsid w:val="008C59FF"/>
    <w:rsid w:val="008D4DE9"/>
    <w:rsid w:val="00923AF8"/>
    <w:rsid w:val="00935ABF"/>
    <w:rsid w:val="00973DFA"/>
    <w:rsid w:val="00987248"/>
    <w:rsid w:val="009B3EF3"/>
    <w:rsid w:val="009F3FE4"/>
    <w:rsid w:val="00A14275"/>
    <w:rsid w:val="00A7142E"/>
    <w:rsid w:val="00A73269"/>
    <w:rsid w:val="00A76618"/>
    <w:rsid w:val="00A82D6A"/>
    <w:rsid w:val="00A92397"/>
    <w:rsid w:val="00AA36CC"/>
    <w:rsid w:val="00AC7AF4"/>
    <w:rsid w:val="00AF0EE4"/>
    <w:rsid w:val="00B03922"/>
    <w:rsid w:val="00B25927"/>
    <w:rsid w:val="00B91FF1"/>
    <w:rsid w:val="00C93280"/>
    <w:rsid w:val="00CE3E31"/>
    <w:rsid w:val="00D16104"/>
    <w:rsid w:val="00DE7DCD"/>
    <w:rsid w:val="00E00DF6"/>
    <w:rsid w:val="00E208F0"/>
    <w:rsid w:val="00E644FF"/>
    <w:rsid w:val="00E647BB"/>
    <w:rsid w:val="00E85CC9"/>
    <w:rsid w:val="00EA7A41"/>
    <w:rsid w:val="00EF1243"/>
    <w:rsid w:val="00F342F8"/>
    <w:rsid w:val="00F605A4"/>
    <w:rsid w:val="00F878BD"/>
    <w:rsid w:val="00FD78C5"/>
    <w:rsid w:val="00FE63DE"/>
    <w:rsid w:val="00FF4B17"/>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table" w:styleId="TableList1">
    <w:name w:val="Table List 1"/>
    <w:basedOn w:val="TableNormal"/>
    <w:rsid w:val="001B472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514838"/>
    <w:rPr>
      <w:rFonts w:ascii="Tahoma" w:hAnsi="Tahoma" w:cs="Tahoma"/>
      <w:sz w:val="16"/>
      <w:szCs w:val="16"/>
    </w:rPr>
  </w:style>
  <w:style w:type="character" w:customStyle="1" w:styleId="BalloonTextChar">
    <w:name w:val="Balloon Text Char"/>
    <w:link w:val="BalloonText"/>
    <w:rsid w:val="00514838"/>
    <w:rPr>
      <w:rFonts w:ascii="Tahoma" w:hAnsi="Tahoma" w:cs="Tahoma"/>
      <w:sz w:val="16"/>
      <w:szCs w:val="16"/>
    </w:rPr>
  </w:style>
  <w:style w:type="character" w:styleId="CommentReference">
    <w:name w:val="annotation reference"/>
    <w:rsid w:val="00CE3E31"/>
    <w:rPr>
      <w:sz w:val="16"/>
      <w:szCs w:val="16"/>
    </w:rPr>
  </w:style>
  <w:style w:type="paragraph" w:styleId="CommentText">
    <w:name w:val="annotation text"/>
    <w:basedOn w:val="Normal"/>
    <w:link w:val="CommentTextChar"/>
    <w:rsid w:val="00CE3E31"/>
  </w:style>
  <w:style w:type="character" w:customStyle="1" w:styleId="CommentTextChar">
    <w:name w:val="Comment Text Char"/>
    <w:basedOn w:val="DefaultParagraphFont"/>
    <w:link w:val="CommentText"/>
    <w:rsid w:val="00CE3E31"/>
  </w:style>
  <w:style w:type="paragraph" w:styleId="CommentSubject">
    <w:name w:val="annotation subject"/>
    <w:basedOn w:val="CommentText"/>
    <w:next w:val="CommentText"/>
    <w:link w:val="CommentSubjectChar"/>
    <w:rsid w:val="00CE3E31"/>
    <w:rPr>
      <w:b/>
      <w:bCs/>
    </w:rPr>
  </w:style>
  <w:style w:type="character" w:customStyle="1" w:styleId="CommentSubjectChar">
    <w:name w:val="Comment Subject Char"/>
    <w:link w:val="CommentSubject"/>
    <w:rsid w:val="00CE3E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2014-05-06T21:20:00Z</dcterms:created>
  <dcterms:modified xsi:type="dcterms:W3CDTF">2014-05-06T21:20:00Z</dcterms:modified>
</cp:coreProperties>
</file>