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37" w:rsidRDefault="00CD1CA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 xml:space="preserve">October </w:t>
      </w:r>
      <w:r w:rsidR="00B403D1">
        <w:rPr>
          <w:rFonts w:ascii="Arial" w:hAnsi="Arial" w:cs="Arial"/>
          <w:sz w:val="28"/>
          <w:szCs w:val="28"/>
        </w:rPr>
        <w:t>29</w:t>
      </w:r>
      <w:r w:rsidR="00CE3831">
        <w:rPr>
          <w:rFonts w:ascii="Arial" w:hAnsi="Arial" w:cs="Arial"/>
          <w:sz w:val="28"/>
          <w:szCs w:val="28"/>
        </w:rPr>
        <w:t xml:space="preserve">, </w:t>
      </w:r>
      <w:r>
        <w:rPr>
          <w:rFonts w:ascii="Arial" w:hAnsi="Arial" w:cs="Arial"/>
          <w:sz w:val="28"/>
          <w:szCs w:val="28"/>
        </w:rPr>
        <w:t>2015</w:t>
      </w:r>
    </w:p>
    <w:p w:rsidR="00114C37" w:rsidRDefault="00114C3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114C37" w:rsidRDefault="00114C3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SECTION </w:t>
      </w:r>
      <w:r w:rsidR="00CE3831">
        <w:rPr>
          <w:rFonts w:ascii="Arial" w:hAnsi="Arial" w:cs="Arial"/>
          <w:sz w:val="28"/>
          <w:szCs w:val="28"/>
        </w:rPr>
        <w:t>601</w:t>
      </w:r>
    </w:p>
    <w:p w:rsidR="00114C37" w:rsidRDefault="00CE383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CE3831">
        <w:rPr>
          <w:rFonts w:ascii="Arial" w:hAnsi="Arial" w:cs="Arial"/>
          <w:sz w:val="28"/>
          <w:szCs w:val="28"/>
        </w:rPr>
        <w:t>CONCRETE SLUMP ACCEPTANCE</w:t>
      </w:r>
    </w:p>
    <w:p w:rsidR="00114C37" w:rsidRDefault="00114C3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114C37" w:rsidRDefault="00114C3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114C37" w:rsidRDefault="00114C3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14C37" w:rsidRDefault="00114C3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14C37" w:rsidRDefault="00114C3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CD1CA4">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114C37" w:rsidRDefault="00114C3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14C37" w:rsidRDefault="00114C3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114C37" w:rsidRDefault="00114C3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14C37" w:rsidRDefault="00114C3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114C37" w:rsidRDefault="00114C3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14C37" w:rsidRDefault="00CE3831">
      <w:pPr>
        <w:rPr>
          <w:rFonts w:ascii="Arial" w:hAnsi="Arial" w:cs="Arial"/>
          <w:color w:val="000000"/>
        </w:rPr>
      </w:pPr>
      <w:r w:rsidRPr="00CE3831">
        <w:rPr>
          <w:sz w:val="28"/>
          <w:szCs w:val="28"/>
        </w:rPr>
        <w:t>Use on projects having any type of concrete construction.</w:t>
      </w:r>
      <w:r w:rsidR="00114C37">
        <w:rPr>
          <w:rFonts w:ascii="Arial" w:hAnsi="Arial" w:cs="Arial"/>
          <w:color w:val="000000"/>
        </w:rPr>
        <w:br w:type="page"/>
      </w:r>
    </w:p>
    <w:p w:rsidR="00114C37" w:rsidRDefault="00114C37">
      <w:pPr>
        <w:rPr>
          <w:rFonts w:ascii="Arial" w:hAnsi="Arial" w:cs="Arial"/>
          <w:color w:val="000000"/>
        </w:rPr>
      </w:pPr>
    </w:p>
    <w:p w:rsidR="00CE3831" w:rsidRDefault="00CD1CA4" w:rsidP="00CE3831">
      <w:pPr>
        <w:autoSpaceDE w:val="0"/>
        <w:autoSpaceDN w:val="0"/>
        <w:adjustRightInd w:val="0"/>
        <w:jc w:val="right"/>
        <w:rPr>
          <w:rFonts w:ascii="Arial" w:hAnsi="Arial" w:cs="Arial"/>
          <w:color w:val="000000"/>
        </w:rPr>
      </w:pPr>
      <w:r>
        <w:rPr>
          <w:rFonts w:ascii="Arial" w:hAnsi="Arial" w:cs="Arial"/>
          <w:color w:val="000000"/>
        </w:rPr>
        <w:t>October 29, 2015</w:t>
      </w:r>
    </w:p>
    <w:p w:rsidR="00CE3831" w:rsidRDefault="00CE3831" w:rsidP="004412D1">
      <w:pPr>
        <w:autoSpaceDE w:val="0"/>
        <w:autoSpaceDN w:val="0"/>
        <w:adjustRightInd w:val="0"/>
        <w:jc w:val="center"/>
        <w:rPr>
          <w:rFonts w:ascii="Arial" w:hAnsi="Arial" w:cs="Arial"/>
          <w:color w:val="000000"/>
        </w:rPr>
      </w:pPr>
    </w:p>
    <w:p w:rsidR="00CE3831" w:rsidRDefault="00CE3831" w:rsidP="004412D1">
      <w:pPr>
        <w:autoSpaceDE w:val="0"/>
        <w:autoSpaceDN w:val="0"/>
        <w:adjustRightInd w:val="0"/>
        <w:jc w:val="center"/>
        <w:rPr>
          <w:rFonts w:ascii="Arial" w:hAnsi="Arial" w:cs="Arial"/>
          <w:color w:val="000000"/>
        </w:rPr>
      </w:pPr>
      <w:r>
        <w:rPr>
          <w:rFonts w:ascii="Arial" w:hAnsi="Arial" w:cs="Arial"/>
          <w:color w:val="000000"/>
        </w:rPr>
        <w:t>1</w:t>
      </w:r>
    </w:p>
    <w:p w:rsidR="00D9349C" w:rsidRDefault="00B61E79" w:rsidP="004412D1">
      <w:pPr>
        <w:autoSpaceDE w:val="0"/>
        <w:autoSpaceDN w:val="0"/>
        <w:adjustRightInd w:val="0"/>
        <w:jc w:val="center"/>
        <w:rPr>
          <w:rFonts w:ascii="Arial" w:hAnsi="Arial" w:cs="Arial"/>
          <w:color w:val="000000"/>
        </w:rPr>
      </w:pPr>
      <w:r>
        <w:rPr>
          <w:rFonts w:ascii="Arial" w:hAnsi="Arial" w:cs="Arial"/>
          <w:color w:val="000000"/>
        </w:rPr>
        <w:t>REVISION OF SECTION 601</w:t>
      </w:r>
    </w:p>
    <w:p w:rsidR="00D9349C" w:rsidRDefault="00B61E79" w:rsidP="004412D1">
      <w:pPr>
        <w:autoSpaceDE w:val="0"/>
        <w:autoSpaceDN w:val="0"/>
        <w:adjustRightInd w:val="0"/>
        <w:jc w:val="center"/>
        <w:rPr>
          <w:rFonts w:ascii="Arial" w:hAnsi="Arial" w:cs="Arial"/>
          <w:color w:val="000000"/>
        </w:rPr>
      </w:pPr>
      <w:r>
        <w:rPr>
          <w:rFonts w:ascii="Arial" w:hAnsi="Arial" w:cs="Arial"/>
          <w:color w:val="000000"/>
        </w:rPr>
        <w:t>CONCRETE SLUMP ACCEPTANCE</w:t>
      </w:r>
    </w:p>
    <w:p w:rsidR="00D9349C" w:rsidRDefault="00D9349C" w:rsidP="004412D1">
      <w:pPr>
        <w:autoSpaceDE w:val="0"/>
        <w:autoSpaceDN w:val="0"/>
        <w:adjustRightInd w:val="0"/>
        <w:jc w:val="center"/>
        <w:rPr>
          <w:rFonts w:ascii="Arial" w:hAnsi="Arial" w:cs="Arial"/>
          <w:color w:val="000000"/>
        </w:rPr>
      </w:pPr>
    </w:p>
    <w:p w:rsidR="00D9349C" w:rsidRDefault="00D9349C" w:rsidP="004412D1">
      <w:pPr>
        <w:autoSpaceDE w:val="0"/>
        <w:autoSpaceDN w:val="0"/>
        <w:adjustRightInd w:val="0"/>
        <w:rPr>
          <w:rFonts w:ascii="Arial" w:hAnsi="Arial" w:cs="Arial"/>
          <w:color w:val="000000"/>
        </w:rPr>
      </w:pPr>
      <w:r w:rsidRPr="006C0EBD">
        <w:rPr>
          <w:rFonts w:ascii="Arial" w:hAnsi="Arial" w:cs="Arial"/>
          <w:color w:val="000000"/>
        </w:rPr>
        <w:t xml:space="preserve">Section </w:t>
      </w:r>
      <w:r>
        <w:rPr>
          <w:rFonts w:ascii="Arial" w:hAnsi="Arial" w:cs="Arial"/>
          <w:color w:val="000000"/>
        </w:rPr>
        <w:t>601</w:t>
      </w:r>
      <w:r w:rsidRPr="006C0EBD">
        <w:rPr>
          <w:rFonts w:ascii="Arial" w:hAnsi="Arial" w:cs="Arial"/>
          <w:color w:val="000000"/>
        </w:rPr>
        <w:t xml:space="preserve"> of the Standard Specifications </w:t>
      </w:r>
      <w:r>
        <w:rPr>
          <w:rFonts w:ascii="Arial" w:hAnsi="Arial" w:cs="Arial"/>
          <w:color w:val="000000"/>
        </w:rPr>
        <w:t>is</w:t>
      </w:r>
      <w:r w:rsidRPr="006C0EBD">
        <w:rPr>
          <w:rFonts w:ascii="Arial" w:hAnsi="Arial" w:cs="Arial"/>
          <w:color w:val="000000"/>
        </w:rPr>
        <w:t xml:space="preserve"> hereby revised for this project as follows:</w:t>
      </w:r>
    </w:p>
    <w:p w:rsidR="00D9349C" w:rsidRDefault="00D9349C" w:rsidP="004412D1">
      <w:pPr>
        <w:autoSpaceDE w:val="0"/>
        <w:autoSpaceDN w:val="0"/>
        <w:adjustRightInd w:val="0"/>
        <w:rPr>
          <w:rFonts w:ascii="Arial" w:hAnsi="Arial" w:cs="Arial"/>
          <w:color w:val="000000"/>
        </w:rPr>
      </w:pPr>
    </w:p>
    <w:p w:rsidR="00D9349C" w:rsidRPr="00E11584" w:rsidRDefault="00D9349C" w:rsidP="004412D1">
      <w:pPr>
        <w:autoSpaceDE w:val="0"/>
        <w:autoSpaceDN w:val="0"/>
        <w:adjustRightInd w:val="0"/>
        <w:rPr>
          <w:rFonts w:ascii="Arial" w:hAnsi="Arial" w:cs="Arial"/>
          <w:color w:val="000000"/>
        </w:rPr>
      </w:pPr>
      <w:r w:rsidRPr="00E11584">
        <w:rPr>
          <w:rFonts w:ascii="Arial" w:hAnsi="Arial" w:cs="Arial"/>
          <w:color w:val="000000"/>
        </w:rPr>
        <w:t>Delete the fifth paragraph of Subsection 601.</w:t>
      </w:r>
      <w:r w:rsidR="00A9726C" w:rsidRPr="00E11584">
        <w:rPr>
          <w:rFonts w:ascii="Arial" w:hAnsi="Arial" w:cs="Arial"/>
          <w:color w:val="000000"/>
        </w:rPr>
        <w:t xml:space="preserve">05 </w:t>
      </w:r>
      <w:r w:rsidRPr="00E11584">
        <w:rPr>
          <w:rFonts w:ascii="Arial" w:hAnsi="Arial" w:cs="Arial"/>
          <w:color w:val="000000"/>
        </w:rPr>
        <w:t>and replace with the following:</w:t>
      </w:r>
    </w:p>
    <w:p w:rsidR="00D9349C" w:rsidRPr="006C0EBD" w:rsidRDefault="00D9349C" w:rsidP="004412D1">
      <w:pPr>
        <w:autoSpaceDE w:val="0"/>
        <w:autoSpaceDN w:val="0"/>
        <w:adjustRightInd w:val="0"/>
        <w:rPr>
          <w:rFonts w:ascii="Arial" w:hAnsi="Arial" w:cs="Arial"/>
          <w:color w:val="000000"/>
        </w:rPr>
      </w:pPr>
    </w:p>
    <w:p w:rsidR="00D9349C" w:rsidRPr="00E11584" w:rsidRDefault="00D9349C" w:rsidP="004412D1">
      <w:pPr>
        <w:autoSpaceDE w:val="0"/>
        <w:autoSpaceDN w:val="0"/>
        <w:adjustRightInd w:val="0"/>
        <w:rPr>
          <w:rFonts w:ascii="Arial" w:hAnsi="Arial" w:cs="Arial"/>
          <w:bCs/>
          <w:color w:val="000000"/>
        </w:rPr>
      </w:pPr>
      <w:r w:rsidRPr="00E11584">
        <w:rPr>
          <w:rFonts w:ascii="Arial" w:hAnsi="Arial" w:cs="Arial"/>
          <w:bCs/>
          <w:color w:val="000000"/>
        </w:rPr>
        <w:t xml:space="preserve">Except for </w:t>
      </w:r>
      <w:r w:rsidR="00B403D1">
        <w:rPr>
          <w:rFonts w:ascii="Arial" w:hAnsi="Arial" w:cs="Arial"/>
          <w:bCs/>
          <w:color w:val="000000"/>
        </w:rPr>
        <w:t>Class</w:t>
      </w:r>
      <w:r w:rsidRPr="00E11584">
        <w:rPr>
          <w:rFonts w:ascii="Arial" w:hAnsi="Arial" w:cs="Arial"/>
          <w:bCs/>
          <w:color w:val="000000"/>
        </w:rPr>
        <w:t xml:space="preserve"> BZ concrete, the slump of the delivered concrete shall be the slump of the approved concrete mix design plus or minus 2.0 inch.  The laboratory trial mix must produce an average compressive strength at least 115 percent of the required field compressive strength specified in Table 601-1.</w:t>
      </w:r>
      <w:r w:rsidR="00D73294" w:rsidRPr="00D73294">
        <w:t xml:space="preserve"> </w:t>
      </w:r>
      <w:r w:rsidR="00D73294" w:rsidRPr="00D73294">
        <w:rPr>
          <w:rFonts w:ascii="Arial" w:hAnsi="Arial" w:cs="Arial"/>
          <w:bCs/>
          <w:color w:val="000000"/>
        </w:rPr>
        <w:t>When entrained air is specified in the Contract for Class BZ concrete, the trial mix shall be run with the required air content.</w:t>
      </w:r>
    </w:p>
    <w:p w:rsidR="00D9349C" w:rsidRDefault="00D9349C" w:rsidP="004412D1">
      <w:pPr>
        <w:autoSpaceDE w:val="0"/>
        <w:autoSpaceDN w:val="0"/>
        <w:adjustRightInd w:val="0"/>
        <w:rPr>
          <w:rFonts w:ascii="Arial" w:hAnsi="Arial" w:cs="Arial"/>
          <w:color w:val="000000"/>
        </w:rPr>
      </w:pPr>
    </w:p>
    <w:p w:rsidR="00D9349C" w:rsidRPr="006C0EBD" w:rsidRDefault="00D9349C" w:rsidP="004412D1">
      <w:pPr>
        <w:autoSpaceDE w:val="0"/>
        <w:autoSpaceDN w:val="0"/>
        <w:adjustRightInd w:val="0"/>
        <w:rPr>
          <w:rFonts w:ascii="Arial" w:hAnsi="Arial" w:cs="Arial"/>
          <w:color w:val="000000"/>
        </w:rPr>
      </w:pPr>
      <w:r w:rsidRPr="006C0EBD">
        <w:rPr>
          <w:rFonts w:ascii="Arial" w:hAnsi="Arial" w:cs="Arial"/>
          <w:color w:val="000000"/>
        </w:rPr>
        <w:t>Delete S</w:t>
      </w:r>
      <w:r>
        <w:rPr>
          <w:rFonts w:ascii="Arial" w:hAnsi="Arial" w:cs="Arial"/>
          <w:color w:val="000000"/>
        </w:rPr>
        <w:t>ubs</w:t>
      </w:r>
      <w:r w:rsidRPr="006C0EBD">
        <w:rPr>
          <w:rFonts w:ascii="Arial" w:hAnsi="Arial" w:cs="Arial"/>
          <w:color w:val="000000"/>
        </w:rPr>
        <w:t xml:space="preserve">ection </w:t>
      </w:r>
      <w:r>
        <w:rPr>
          <w:rFonts w:ascii="Arial" w:hAnsi="Arial" w:cs="Arial"/>
          <w:color w:val="000000"/>
        </w:rPr>
        <w:t>601.17 (b), 601.17 (d) and Table 601-3 and replace with the following:</w:t>
      </w:r>
    </w:p>
    <w:p w:rsidR="00D9349C" w:rsidRPr="006C0EBD" w:rsidRDefault="00D9349C" w:rsidP="004412D1">
      <w:pPr>
        <w:autoSpaceDE w:val="0"/>
        <w:autoSpaceDN w:val="0"/>
        <w:adjustRightInd w:val="0"/>
        <w:rPr>
          <w:rFonts w:ascii="Arial" w:hAnsi="Arial" w:cs="Arial"/>
          <w:color w:val="000000"/>
        </w:rPr>
      </w:pPr>
    </w:p>
    <w:p w:rsidR="00D9349C" w:rsidRPr="00E11584" w:rsidRDefault="00D9349C" w:rsidP="00D9349C">
      <w:pPr>
        <w:widowControl w:val="0"/>
        <w:numPr>
          <w:ilvl w:val="0"/>
          <w:numId w:val="6"/>
        </w:numPr>
        <w:tabs>
          <w:tab w:val="left" w:pos="-720"/>
          <w:tab w:val="left" w:pos="-360"/>
          <w:tab w:val="left" w:pos="0"/>
          <w:tab w:val="left" w:pos="360"/>
          <w:tab w:val="left" w:pos="720"/>
          <w:tab w:val="left" w:pos="1080"/>
          <w:tab w:val="left" w:pos="1440"/>
          <w:tab w:val="left" w:pos="1800"/>
        </w:tabs>
        <w:autoSpaceDE w:val="0"/>
        <w:autoSpaceDN w:val="0"/>
        <w:spacing w:after="120" w:line="247" w:lineRule="auto"/>
        <w:rPr>
          <w:rFonts w:ascii="Arial" w:hAnsi="Arial" w:cs="Arial"/>
          <w:color w:val="000000"/>
          <w:kern w:val="2"/>
        </w:rPr>
      </w:pPr>
      <w:r w:rsidRPr="00E11584">
        <w:rPr>
          <w:rFonts w:ascii="Arial" w:hAnsi="Arial" w:cs="Arial"/>
          <w:i/>
          <w:iCs/>
          <w:color w:val="000000"/>
          <w:kern w:val="2"/>
        </w:rPr>
        <w:t>Slump</w:t>
      </w:r>
      <w:r w:rsidRPr="00E11584">
        <w:rPr>
          <w:rFonts w:ascii="Arial" w:hAnsi="Arial" w:cs="Arial"/>
          <w:color w:val="000000"/>
          <w:kern w:val="2"/>
        </w:rPr>
        <w:t xml:space="preserve">.  Slump acceptance, but not rejection, may be visually determined by the Engineer.  Any batch that exceeds the slump </w:t>
      </w:r>
      <w:r w:rsidRPr="00E11584">
        <w:rPr>
          <w:rFonts w:ascii="Arial" w:hAnsi="Arial" w:cs="Arial"/>
          <w:bCs/>
          <w:color w:val="000000"/>
        </w:rPr>
        <w:t xml:space="preserve">of the approved concrete mix design </w:t>
      </w:r>
      <w:r w:rsidRPr="00E11584">
        <w:rPr>
          <w:rFonts w:ascii="Arial" w:hAnsi="Arial" w:cs="Arial"/>
          <w:color w:val="000000"/>
          <w:kern w:val="2"/>
        </w:rPr>
        <w:t xml:space="preserve">by 2.0 inches will be retested.  If the slump is exceeded a second time, that load is rejected.  If the slump is greater than 2 inches lower </w:t>
      </w:r>
      <w:r w:rsidR="00765FBB" w:rsidRPr="00E11584">
        <w:rPr>
          <w:rFonts w:ascii="Arial" w:hAnsi="Arial" w:cs="Arial"/>
          <w:bCs/>
          <w:color w:val="000000"/>
        </w:rPr>
        <w:t xml:space="preserve">than </w:t>
      </w:r>
      <w:r w:rsidRPr="00E11584">
        <w:rPr>
          <w:rFonts w:ascii="Arial" w:hAnsi="Arial" w:cs="Arial"/>
          <w:bCs/>
          <w:color w:val="000000"/>
        </w:rPr>
        <w:t>the approved concrete mix design</w:t>
      </w:r>
      <w:r w:rsidRPr="00E11584">
        <w:rPr>
          <w:rFonts w:ascii="Arial" w:hAnsi="Arial" w:cs="Arial"/>
          <w:color w:val="000000"/>
          <w:kern w:val="2"/>
        </w:rPr>
        <w:t>, the load can be adjusted with a water reducer, or by adding water (if the w/cm allows) and retested.</w:t>
      </w:r>
    </w:p>
    <w:p w:rsidR="00D9349C" w:rsidRPr="00E11584" w:rsidRDefault="00D9349C" w:rsidP="006D19CC">
      <w:pPr>
        <w:widowControl w:val="0"/>
        <w:tabs>
          <w:tab w:val="left" w:pos="-720"/>
          <w:tab w:val="left" w:pos="-360"/>
          <w:tab w:val="left" w:pos="0"/>
          <w:tab w:val="left" w:pos="360"/>
          <w:tab w:val="left" w:pos="720"/>
          <w:tab w:val="left" w:pos="1080"/>
          <w:tab w:val="left" w:pos="1440"/>
          <w:tab w:val="left" w:pos="1800"/>
        </w:tabs>
        <w:autoSpaceDE w:val="0"/>
        <w:autoSpaceDN w:val="0"/>
        <w:spacing w:after="120" w:line="247" w:lineRule="auto"/>
        <w:ind w:left="432"/>
        <w:rPr>
          <w:rFonts w:ascii="Arial" w:hAnsi="Arial" w:cs="Arial"/>
          <w:color w:val="000000"/>
          <w:kern w:val="2"/>
        </w:rPr>
      </w:pPr>
      <w:r w:rsidRPr="00E11584">
        <w:rPr>
          <w:rFonts w:ascii="Arial" w:hAnsi="Arial" w:cs="Arial"/>
          <w:color w:val="000000"/>
          <w:kern w:val="2"/>
        </w:rPr>
        <w:t>Portions of loads incorporated into structures prior to determining test results which indicate rejection as the correct course of action shall be subject to reduced payment or removal as determined by the Engineer.</w:t>
      </w:r>
    </w:p>
    <w:p w:rsidR="00D9349C" w:rsidRPr="00E11584" w:rsidRDefault="00D9349C" w:rsidP="00D9349C">
      <w:pPr>
        <w:widowControl w:val="0"/>
        <w:numPr>
          <w:ilvl w:val="0"/>
          <w:numId w:val="7"/>
        </w:numPr>
        <w:tabs>
          <w:tab w:val="left" w:pos="-720"/>
          <w:tab w:val="left" w:pos="-360"/>
          <w:tab w:val="left" w:pos="0"/>
          <w:tab w:val="left" w:pos="360"/>
          <w:tab w:val="left" w:pos="720"/>
          <w:tab w:val="left" w:pos="1080"/>
          <w:tab w:val="left" w:pos="1440"/>
          <w:tab w:val="left" w:pos="1800"/>
        </w:tabs>
        <w:autoSpaceDE w:val="0"/>
        <w:autoSpaceDN w:val="0"/>
        <w:spacing w:after="120" w:line="247" w:lineRule="auto"/>
        <w:rPr>
          <w:rFonts w:ascii="Arial" w:hAnsi="Arial" w:cs="Arial"/>
          <w:color w:val="000000"/>
          <w:kern w:val="2"/>
        </w:rPr>
      </w:pPr>
      <w:r w:rsidRPr="00E11584">
        <w:rPr>
          <w:rFonts w:ascii="Arial" w:hAnsi="Arial" w:cs="Arial"/>
          <w:i/>
          <w:iCs/>
          <w:color w:val="000000"/>
          <w:kern w:val="2"/>
        </w:rPr>
        <w:t>Pay Factors</w:t>
      </w:r>
      <w:r w:rsidRPr="00E11584">
        <w:rPr>
          <w:rFonts w:ascii="Arial" w:hAnsi="Arial" w:cs="Arial"/>
          <w:color w:val="000000"/>
          <w:kern w:val="2"/>
        </w:rPr>
        <w:t>.  The pay factor for concrete which is allowed to remain in place at a reduced price shall be according to Table 601-3 and shall be applied to the unit price bid for Item 601, Structural Concrete.</w:t>
      </w:r>
    </w:p>
    <w:p w:rsidR="00D9349C" w:rsidRPr="00E11584" w:rsidRDefault="00D9349C" w:rsidP="0013501E">
      <w:pPr>
        <w:tabs>
          <w:tab w:val="left" w:pos="-720"/>
          <w:tab w:val="left" w:pos="-360"/>
          <w:tab w:val="left" w:pos="0"/>
          <w:tab w:val="left" w:pos="360"/>
          <w:tab w:val="left" w:pos="720"/>
          <w:tab w:val="left" w:pos="1080"/>
          <w:tab w:val="left" w:pos="1440"/>
          <w:tab w:val="left" w:pos="1800"/>
        </w:tabs>
        <w:spacing w:after="120" w:line="247" w:lineRule="auto"/>
        <w:ind w:left="360"/>
        <w:rPr>
          <w:rFonts w:ascii="Arial" w:hAnsi="Arial" w:cs="Arial"/>
          <w:color w:val="000000"/>
          <w:kern w:val="2"/>
        </w:rPr>
      </w:pPr>
      <w:r w:rsidRPr="00E11584">
        <w:rPr>
          <w:rFonts w:ascii="Arial" w:hAnsi="Arial" w:cs="Arial"/>
          <w:color w:val="000000"/>
          <w:kern w:val="2"/>
        </w:rPr>
        <w:t>If deviations occur in air content and strength within the same batch, the pay factor for the batch shall be the product of the individual pay factors.</w:t>
      </w:r>
    </w:p>
    <w:p w:rsidR="00D9349C" w:rsidRPr="00ED49EE" w:rsidRDefault="00D9349C" w:rsidP="0013501E">
      <w:pPr>
        <w:tabs>
          <w:tab w:val="left" w:pos="-720"/>
          <w:tab w:val="left" w:pos="-360"/>
          <w:tab w:val="left" w:pos="0"/>
          <w:tab w:val="left" w:pos="360"/>
          <w:tab w:val="left" w:pos="720"/>
          <w:tab w:val="left" w:pos="1080"/>
          <w:tab w:val="left" w:pos="1440"/>
          <w:tab w:val="left" w:pos="1800"/>
        </w:tabs>
        <w:spacing w:after="120" w:line="247" w:lineRule="auto"/>
        <w:jc w:val="center"/>
        <w:rPr>
          <w:color w:val="000000"/>
          <w:kern w:val="2"/>
          <w:sz w:val="22"/>
          <w:szCs w:val="22"/>
        </w:rPr>
      </w:pPr>
    </w:p>
    <w:p w:rsidR="00D9349C" w:rsidRPr="002F46E2" w:rsidRDefault="00D9349C" w:rsidP="00F83B89">
      <w:pPr>
        <w:keepNext/>
        <w:keepLines/>
        <w:tabs>
          <w:tab w:val="left" w:pos="-720"/>
          <w:tab w:val="left" w:pos="-360"/>
          <w:tab w:val="left" w:pos="0"/>
          <w:tab w:val="left" w:pos="360"/>
          <w:tab w:val="left" w:pos="720"/>
          <w:tab w:val="left" w:pos="1080"/>
          <w:tab w:val="left" w:pos="1440"/>
          <w:tab w:val="left" w:pos="1800"/>
        </w:tabs>
        <w:spacing w:line="247" w:lineRule="auto"/>
        <w:jc w:val="center"/>
        <w:rPr>
          <w:rFonts w:ascii="Arial" w:hAnsi="Arial" w:cs="Arial"/>
          <w:b/>
          <w:bCs/>
          <w:color w:val="000000"/>
          <w:kern w:val="2"/>
        </w:rPr>
      </w:pPr>
      <w:r w:rsidRPr="002F46E2">
        <w:rPr>
          <w:rFonts w:ascii="Arial" w:hAnsi="Arial" w:cs="Arial"/>
          <w:b/>
          <w:bCs/>
          <w:color w:val="000000"/>
          <w:kern w:val="2"/>
        </w:rPr>
        <w:t>Table 601-3</w:t>
      </w:r>
    </w:p>
    <w:p w:rsidR="00D9349C" w:rsidRPr="002F46E2" w:rsidRDefault="00D9349C" w:rsidP="00F83B89">
      <w:pPr>
        <w:keepNext/>
        <w:keepLines/>
        <w:tabs>
          <w:tab w:val="left" w:pos="-720"/>
          <w:tab w:val="left" w:pos="-360"/>
          <w:tab w:val="left" w:pos="0"/>
          <w:tab w:val="left" w:pos="360"/>
          <w:tab w:val="left" w:pos="720"/>
          <w:tab w:val="left" w:pos="1080"/>
          <w:tab w:val="left" w:pos="1440"/>
          <w:tab w:val="left" w:pos="1800"/>
        </w:tabs>
        <w:spacing w:line="247" w:lineRule="auto"/>
        <w:jc w:val="center"/>
        <w:rPr>
          <w:rFonts w:ascii="Arial" w:hAnsi="Arial" w:cs="Arial"/>
          <w:b/>
          <w:bCs/>
          <w:i/>
          <w:iCs/>
          <w:color w:val="000000"/>
          <w:kern w:val="2"/>
        </w:rPr>
      </w:pPr>
      <w:r w:rsidRPr="002F46E2">
        <w:rPr>
          <w:rFonts w:ascii="Arial" w:hAnsi="Arial" w:cs="Arial"/>
          <w:b/>
          <w:bCs/>
          <w:color w:val="000000"/>
          <w:kern w:val="2"/>
        </w:rPr>
        <w:t>PAY FACTORS</w:t>
      </w:r>
      <w:bookmarkStart w:id="0" w:name="_GoBack"/>
      <w:bookmarkEnd w:id="0"/>
    </w:p>
    <w:tbl>
      <w:tblPr>
        <w:tblW w:w="6444" w:type="dxa"/>
        <w:jc w:val="center"/>
        <w:tblBorders>
          <w:top w:val="double" w:sz="4" w:space="0" w:color="auto"/>
          <w:left w:val="double" w:sz="4" w:space="0" w:color="auto"/>
          <w:bottom w:val="double" w:sz="4" w:space="0" w:color="auto"/>
          <w:right w:val="doub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60"/>
        <w:gridCol w:w="1080"/>
        <w:gridCol w:w="1548"/>
        <w:gridCol w:w="1080"/>
        <w:gridCol w:w="1476"/>
      </w:tblGrid>
      <w:tr w:rsidR="00D9349C" w:rsidRPr="002F46E2" w:rsidTr="004412D1">
        <w:trPr>
          <w:jc w:val="center"/>
        </w:trPr>
        <w:tc>
          <w:tcPr>
            <w:tcW w:w="2340" w:type="dxa"/>
            <w:gridSpan w:val="2"/>
            <w:tcBorders>
              <w:top w:val="double" w:sz="4" w:space="0" w:color="auto"/>
              <w:bottom w:val="nil"/>
              <w:right w:val="single" w:sz="12" w:space="0" w:color="auto"/>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b/>
                <w:bCs/>
                <w:color w:val="000000"/>
                <w:kern w:val="2"/>
                <w:sz w:val="18"/>
                <w:szCs w:val="18"/>
              </w:rPr>
              <w:t>Percent Total Air</w:t>
            </w:r>
          </w:p>
        </w:tc>
        <w:tc>
          <w:tcPr>
            <w:tcW w:w="4104" w:type="dxa"/>
            <w:gridSpan w:val="3"/>
            <w:tcBorders>
              <w:top w:val="double" w:sz="4" w:space="0" w:color="auto"/>
              <w:left w:val="single" w:sz="12" w:space="0" w:color="auto"/>
              <w:bottom w:val="nil"/>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b/>
                <w:bCs/>
                <w:color w:val="000000"/>
                <w:kern w:val="2"/>
                <w:sz w:val="18"/>
                <w:szCs w:val="18"/>
              </w:rPr>
              <w:t>Strength</w:t>
            </w:r>
          </w:p>
        </w:tc>
      </w:tr>
      <w:tr w:rsidR="00D9349C" w:rsidRPr="002F46E2" w:rsidTr="00833AE9">
        <w:trPr>
          <w:jc w:val="center"/>
        </w:trPr>
        <w:tc>
          <w:tcPr>
            <w:tcW w:w="1260" w:type="dxa"/>
            <w:tcBorders>
              <w:top w:val="thinThickThinSmallGap" w:sz="12" w:space="0" w:color="auto"/>
              <w:bottom w:val="nil"/>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b/>
                <w:bCs/>
                <w:color w:val="000000"/>
                <w:kern w:val="2"/>
                <w:sz w:val="18"/>
                <w:szCs w:val="18"/>
              </w:rPr>
              <w:t>Deviations From Specified Air (Percent)</w:t>
            </w:r>
          </w:p>
        </w:tc>
        <w:tc>
          <w:tcPr>
            <w:tcW w:w="1080" w:type="dxa"/>
            <w:tcBorders>
              <w:top w:val="thinThickThinSmallGap" w:sz="12" w:space="0" w:color="auto"/>
              <w:bottom w:val="nil"/>
              <w:right w:val="single" w:sz="12" w:space="0" w:color="auto"/>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color w:val="000000"/>
                <w:kern w:val="2"/>
                <w:sz w:val="18"/>
                <w:szCs w:val="18"/>
              </w:rPr>
            </w:pPr>
            <w:r w:rsidRPr="002F46E2">
              <w:rPr>
                <w:rFonts w:ascii="Arial" w:hAnsi="Arial" w:cs="Arial"/>
                <w:b/>
                <w:bCs/>
                <w:color w:val="000000"/>
                <w:kern w:val="2"/>
                <w:sz w:val="18"/>
                <w:szCs w:val="18"/>
              </w:rPr>
              <w:t>Pay Factor (Percent)</w:t>
            </w:r>
          </w:p>
        </w:tc>
        <w:tc>
          <w:tcPr>
            <w:tcW w:w="1548" w:type="dxa"/>
            <w:tcBorders>
              <w:top w:val="thinThickThinSmallGap" w:sz="12" w:space="0" w:color="auto"/>
              <w:left w:val="single" w:sz="12" w:space="0" w:color="auto"/>
              <w:bottom w:val="nil"/>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color w:val="000000"/>
                <w:kern w:val="2"/>
                <w:sz w:val="18"/>
                <w:szCs w:val="18"/>
              </w:rPr>
            </w:pPr>
            <w:r w:rsidRPr="002F46E2">
              <w:rPr>
                <w:rFonts w:ascii="Arial" w:hAnsi="Arial" w:cs="Arial"/>
                <w:b/>
                <w:bCs/>
                <w:color w:val="000000"/>
                <w:kern w:val="2"/>
                <w:sz w:val="18"/>
                <w:szCs w:val="18"/>
              </w:rPr>
              <w:t>Below Specified Strength (psi)</w:t>
            </w:r>
          </w:p>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b/>
                <w:bCs/>
                <w:color w:val="000000"/>
                <w:kern w:val="2"/>
                <w:sz w:val="18"/>
                <w:szCs w:val="18"/>
              </w:rPr>
              <w:t>[ &lt; 4500 psi Concrete]</w:t>
            </w:r>
          </w:p>
        </w:tc>
        <w:tc>
          <w:tcPr>
            <w:tcW w:w="1080" w:type="dxa"/>
            <w:tcBorders>
              <w:top w:val="thinThickThinSmallGap" w:sz="12" w:space="0" w:color="auto"/>
              <w:bottom w:val="nil"/>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b/>
                <w:bCs/>
                <w:color w:val="000000"/>
                <w:kern w:val="2"/>
                <w:sz w:val="18"/>
                <w:szCs w:val="18"/>
              </w:rPr>
              <w:t>Pay Factor (Percent)</w:t>
            </w:r>
          </w:p>
        </w:tc>
        <w:tc>
          <w:tcPr>
            <w:tcW w:w="1476" w:type="dxa"/>
            <w:tcBorders>
              <w:top w:val="thinThickThinSmallGap" w:sz="12" w:space="0" w:color="auto"/>
              <w:bottom w:val="nil"/>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color w:val="000000"/>
                <w:kern w:val="2"/>
                <w:sz w:val="18"/>
                <w:szCs w:val="18"/>
              </w:rPr>
            </w:pPr>
            <w:r w:rsidRPr="002F46E2">
              <w:rPr>
                <w:rFonts w:ascii="Arial" w:hAnsi="Arial" w:cs="Arial"/>
                <w:b/>
                <w:bCs/>
                <w:color w:val="000000"/>
                <w:kern w:val="2"/>
                <w:sz w:val="18"/>
                <w:szCs w:val="18"/>
              </w:rPr>
              <w:t>Below Specified Strength (psi)</w:t>
            </w:r>
          </w:p>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b/>
                <w:bCs/>
                <w:color w:val="000000"/>
                <w:kern w:val="2"/>
                <w:sz w:val="18"/>
                <w:szCs w:val="18"/>
              </w:rPr>
              <w:t>[ ≥ 4500 psi Concrete]</w:t>
            </w:r>
          </w:p>
        </w:tc>
      </w:tr>
      <w:tr w:rsidR="00D9349C" w:rsidRPr="002F46E2" w:rsidTr="00833AE9">
        <w:trPr>
          <w:jc w:val="center"/>
        </w:trPr>
        <w:tc>
          <w:tcPr>
            <w:tcW w:w="1260" w:type="dxa"/>
            <w:tcBorders>
              <w:top w:val="single" w:sz="4" w:space="0" w:color="auto"/>
              <w:bottom w:val="nil"/>
            </w:tcBorders>
            <w:shd w:val="pct20" w:color="auto" w:fill="FFFFFF"/>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0.0-0.2</w:t>
            </w:r>
          </w:p>
        </w:tc>
        <w:tc>
          <w:tcPr>
            <w:tcW w:w="1080" w:type="dxa"/>
            <w:tcBorders>
              <w:top w:val="single" w:sz="4" w:space="0" w:color="auto"/>
              <w:bottom w:val="nil"/>
              <w:right w:val="single" w:sz="12" w:space="0" w:color="auto"/>
            </w:tcBorders>
            <w:shd w:val="pct20" w:color="auto" w:fill="FFFFFF"/>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98</w:t>
            </w:r>
          </w:p>
        </w:tc>
        <w:tc>
          <w:tcPr>
            <w:tcW w:w="1548" w:type="dxa"/>
            <w:tcBorders>
              <w:top w:val="single" w:sz="4" w:space="0" w:color="auto"/>
              <w:left w:val="single" w:sz="12" w:space="0" w:color="auto"/>
              <w:bottom w:val="nil"/>
            </w:tcBorders>
            <w:shd w:val="pct20" w:color="auto" w:fill="FFFFFF"/>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1-100</w:t>
            </w:r>
          </w:p>
        </w:tc>
        <w:tc>
          <w:tcPr>
            <w:tcW w:w="1080" w:type="dxa"/>
            <w:tcBorders>
              <w:top w:val="single" w:sz="4" w:space="0" w:color="auto"/>
              <w:bottom w:val="nil"/>
            </w:tcBorders>
            <w:shd w:val="pct20" w:color="auto" w:fill="FFFFFF"/>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98</w:t>
            </w:r>
          </w:p>
        </w:tc>
        <w:tc>
          <w:tcPr>
            <w:tcW w:w="1476" w:type="dxa"/>
            <w:tcBorders>
              <w:top w:val="single" w:sz="4" w:space="0" w:color="auto"/>
              <w:bottom w:val="nil"/>
            </w:tcBorders>
            <w:shd w:val="pct20" w:color="auto" w:fill="FFFFFF"/>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1-100</w:t>
            </w:r>
          </w:p>
        </w:tc>
      </w:tr>
      <w:tr w:rsidR="00D9349C" w:rsidRPr="002F46E2" w:rsidTr="00833AE9">
        <w:trPr>
          <w:jc w:val="center"/>
        </w:trPr>
        <w:tc>
          <w:tcPr>
            <w:tcW w:w="1260" w:type="dxa"/>
            <w:tcBorders>
              <w:top w:val="nil"/>
              <w:bottom w:val="nil"/>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0.3-0.4</w:t>
            </w:r>
          </w:p>
        </w:tc>
        <w:tc>
          <w:tcPr>
            <w:tcW w:w="1080" w:type="dxa"/>
            <w:tcBorders>
              <w:top w:val="nil"/>
              <w:bottom w:val="nil"/>
              <w:right w:val="single" w:sz="12" w:space="0" w:color="auto"/>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96</w:t>
            </w:r>
          </w:p>
        </w:tc>
        <w:tc>
          <w:tcPr>
            <w:tcW w:w="1548" w:type="dxa"/>
            <w:tcBorders>
              <w:top w:val="nil"/>
              <w:left w:val="single" w:sz="12" w:space="0" w:color="auto"/>
              <w:bottom w:val="nil"/>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101-200</w:t>
            </w:r>
          </w:p>
        </w:tc>
        <w:tc>
          <w:tcPr>
            <w:tcW w:w="1080" w:type="dxa"/>
            <w:tcBorders>
              <w:top w:val="nil"/>
              <w:bottom w:val="nil"/>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96</w:t>
            </w:r>
          </w:p>
        </w:tc>
        <w:tc>
          <w:tcPr>
            <w:tcW w:w="1476" w:type="dxa"/>
            <w:tcBorders>
              <w:top w:val="nil"/>
              <w:bottom w:val="nil"/>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101-200</w:t>
            </w:r>
          </w:p>
        </w:tc>
      </w:tr>
      <w:tr w:rsidR="00D9349C" w:rsidRPr="002F46E2" w:rsidTr="00833AE9">
        <w:trPr>
          <w:jc w:val="center"/>
        </w:trPr>
        <w:tc>
          <w:tcPr>
            <w:tcW w:w="1260" w:type="dxa"/>
            <w:tcBorders>
              <w:top w:val="nil"/>
              <w:bottom w:val="nil"/>
            </w:tcBorders>
            <w:shd w:val="pct20" w:color="auto" w:fill="FFFFFF"/>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0.5-0.6</w:t>
            </w:r>
          </w:p>
        </w:tc>
        <w:tc>
          <w:tcPr>
            <w:tcW w:w="1080" w:type="dxa"/>
            <w:tcBorders>
              <w:top w:val="nil"/>
              <w:bottom w:val="nil"/>
              <w:right w:val="single" w:sz="12" w:space="0" w:color="auto"/>
            </w:tcBorders>
            <w:shd w:val="pct20" w:color="auto" w:fill="FFFFFF"/>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92</w:t>
            </w:r>
          </w:p>
        </w:tc>
        <w:tc>
          <w:tcPr>
            <w:tcW w:w="1548" w:type="dxa"/>
            <w:tcBorders>
              <w:top w:val="nil"/>
              <w:left w:val="single" w:sz="12" w:space="0" w:color="auto"/>
              <w:bottom w:val="nil"/>
            </w:tcBorders>
            <w:shd w:val="pct20" w:color="auto" w:fill="FFFFFF"/>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201-300</w:t>
            </w:r>
          </w:p>
        </w:tc>
        <w:tc>
          <w:tcPr>
            <w:tcW w:w="1080" w:type="dxa"/>
            <w:tcBorders>
              <w:top w:val="nil"/>
              <w:bottom w:val="nil"/>
            </w:tcBorders>
            <w:shd w:val="pct20" w:color="auto" w:fill="FFFFFF"/>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92</w:t>
            </w:r>
          </w:p>
        </w:tc>
        <w:tc>
          <w:tcPr>
            <w:tcW w:w="1476" w:type="dxa"/>
            <w:tcBorders>
              <w:top w:val="nil"/>
              <w:bottom w:val="nil"/>
            </w:tcBorders>
            <w:shd w:val="pct20" w:color="auto" w:fill="FFFFFF"/>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201-300</w:t>
            </w:r>
          </w:p>
        </w:tc>
      </w:tr>
      <w:tr w:rsidR="00D9349C" w:rsidRPr="002F46E2" w:rsidTr="00833AE9">
        <w:trPr>
          <w:jc w:val="center"/>
        </w:trPr>
        <w:tc>
          <w:tcPr>
            <w:tcW w:w="1260" w:type="dxa"/>
            <w:tcBorders>
              <w:top w:val="nil"/>
              <w:bottom w:val="nil"/>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0.7-0.8</w:t>
            </w:r>
          </w:p>
        </w:tc>
        <w:tc>
          <w:tcPr>
            <w:tcW w:w="1080" w:type="dxa"/>
            <w:tcBorders>
              <w:top w:val="nil"/>
              <w:bottom w:val="nil"/>
              <w:right w:val="single" w:sz="12" w:space="0" w:color="auto"/>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84</w:t>
            </w:r>
          </w:p>
        </w:tc>
        <w:tc>
          <w:tcPr>
            <w:tcW w:w="1548" w:type="dxa"/>
            <w:tcBorders>
              <w:top w:val="nil"/>
              <w:left w:val="single" w:sz="12" w:space="0" w:color="auto"/>
              <w:bottom w:val="nil"/>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301-400</w:t>
            </w:r>
          </w:p>
        </w:tc>
        <w:tc>
          <w:tcPr>
            <w:tcW w:w="1080" w:type="dxa"/>
            <w:tcBorders>
              <w:top w:val="nil"/>
              <w:bottom w:val="nil"/>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84</w:t>
            </w:r>
          </w:p>
        </w:tc>
        <w:tc>
          <w:tcPr>
            <w:tcW w:w="1476" w:type="dxa"/>
            <w:tcBorders>
              <w:top w:val="nil"/>
              <w:bottom w:val="nil"/>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301-400</w:t>
            </w:r>
          </w:p>
        </w:tc>
      </w:tr>
      <w:tr w:rsidR="00D9349C" w:rsidRPr="002F46E2" w:rsidTr="00833AE9">
        <w:trPr>
          <w:jc w:val="center"/>
        </w:trPr>
        <w:tc>
          <w:tcPr>
            <w:tcW w:w="1260" w:type="dxa"/>
            <w:tcBorders>
              <w:top w:val="nil"/>
              <w:bottom w:val="nil"/>
            </w:tcBorders>
            <w:shd w:val="pct20" w:color="auto" w:fill="FFFFFF"/>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0.9-1.0</w:t>
            </w:r>
          </w:p>
        </w:tc>
        <w:tc>
          <w:tcPr>
            <w:tcW w:w="1080" w:type="dxa"/>
            <w:tcBorders>
              <w:top w:val="nil"/>
              <w:bottom w:val="nil"/>
              <w:right w:val="single" w:sz="12" w:space="0" w:color="auto"/>
            </w:tcBorders>
            <w:shd w:val="pct20" w:color="auto" w:fill="FFFFFF"/>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75</w:t>
            </w:r>
          </w:p>
        </w:tc>
        <w:tc>
          <w:tcPr>
            <w:tcW w:w="1548" w:type="dxa"/>
            <w:tcBorders>
              <w:top w:val="nil"/>
              <w:left w:val="single" w:sz="12" w:space="0" w:color="auto"/>
              <w:bottom w:val="nil"/>
            </w:tcBorders>
            <w:shd w:val="pct20" w:color="auto" w:fill="FFFFFF"/>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401-500</w:t>
            </w:r>
          </w:p>
        </w:tc>
        <w:tc>
          <w:tcPr>
            <w:tcW w:w="1080" w:type="dxa"/>
            <w:tcBorders>
              <w:top w:val="nil"/>
              <w:bottom w:val="nil"/>
            </w:tcBorders>
            <w:shd w:val="pct20" w:color="auto" w:fill="FFFFFF"/>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75</w:t>
            </w:r>
          </w:p>
        </w:tc>
        <w:tc>
          <w:tcPr>
            <w:tcW w:w="1476" w:type="dxa"/>
            <w:tcBorders>
              <w:top w:val="nil"/>
              <w:bottom w:val="nil"/>
            </w:tcBorders>
            <w:shd w:val="pct20" w:color="auto" w:fill="FFFFFF"/>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401-500</w:t>
            </w:r>
          </w:p>
        </w:tc>
      </w:tr>
      <w:tr w:rsidR="00D9349C" w:rsidRPr="002F46E2" w:rsidTr="00833AE9">
        <w:trPr>
          <w:jc w:val="center"/>
        </w:trPr>
        <w:tc>
          <w:tcPr>
            <w:tcW w:w="1260" w:type="dxa"/>
            <w:tcBorders>
              <w:top w:val="nil"/>
              <w:bottom w:val="single" w:sz="4" w:space="0" w:color="auto"/>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Over 1.0</w:t>
            </w:r>
          </w:p>
        </w:tc>
        <w:tc>
          <w:tcPr>
            <w:tcW w:w="1080" w:type="dxa"/>
            <w:tcBorders>
              <w:top w:val="nil"/>
              <w:bottom w:val="single" w:sz="4" w:space="0" w:color="auto"/>
              <w:right w:val="single" w:sz="12" w:space="0" w:color="auto"/>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Reject</w:t>
            </w:r>
          </w:p>
        </w:tc>
        <w:tc>
          <w:tcPr>
            <w:tcW w:w="1548" w:type="dxa"/>
            <w:tcBorders>
              <w:top w:val="nil"/>
              <w:left w:val="single" w:sz="12" w:space="0" w:color="auto"/>
              <w:bottom w:val="single" w:sz="4" w:space="0" w:color="auto"/>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Over 500</w:t>
            </w:r>
          </w:p>
        </w:tc>
        <w:tc>
          <w:tcPr>
            <w:tcW w:w="1080" w:type="dxa"/>
            <w:tcBorders>
              <w:top w:val="nil"/>
              <w:bottom w:val="single" w:sz="4" w:space="0" w:color="auto"/>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Reject</w:t>
            </w:r>
          </w:p>
        </w:tc>
        <w:tc>
          <w:tcPr>
            <w:tcW w:w="1476" w:type="dxa"/>
            <w:tcBorders>
              <w:top w:val="nil"/>
              <w:bottom w:val="single" w:sz="4" w:space="0" w:color="auto"/>
            </w:tcBorders>
            <w:vAlign w:val="center"/>
          </w:tcPr>
          <w:p w:rsidR="00D9349C" w:rsidRPr="002F46E2" w:rsidRDefault="00D9349C"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p>
        </w:tc>
      </w:tr>
      <w:tr w:rsidR="00501E85" w:rsidRPr="002F46E2" w:rsidTr="00501E85">
        <w:trPr>
          <w:cantSplit/>
          <w:jc w:val="center"/>
        </w:trPr>
        <w:tc>
          <w:tcPr>
            <w:tcW w:w="3888" w:type="dxa"/>
            <w:gridSpan w:val="3"/>
            <w:vMerge w:val="restart"/>
            <w:tcBorders>
              <w:top w:val="single" w:sz="4" w:space="0" w:color="auto"/>
              <w:left w:val="double" w:sz="4" w:space="0" w:color="auto"/>
            </w:tcBorders>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p>
        </w:tc>
        <w:tc>
          <w:tcPr>
            <w:tcW w:w="1080" w:type="dxa"/>
            <w:tcBorders>
              <w:top w:val="single" w:sz="4" w:space="0" w:color="auto"/>
              <w:bottom w:val="nil"/>
            </w:tcBorders>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65</w:t>
            </w:r>
          </w:p>
        </w:tc>
        <w:tc>
          <w:tcPr>
            <w:tcW w:w="1476" w:type="dxa"/>
            <w:tcBorders>
              <w:top w:val="single" w:sz="4" w:space="0" w:color="auto"/>
              <w:bottom w:val="nil"/>
            </w:tcBorders>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501-600</w:t>
            </w:r>
          </w:p>
        </w:tc>
      </w:tr>
      <w:tr w:rsidR="00501E85" w:rsidRPr="002F46E2" w:rsidTr="00501E85">
        <w:trPr>
          <w:cantSplit/>
          <w:jc w:val="center"/>
        </w:trPr>
        <w:tc>
          <w:tcPr>
            <w:tcW w:w="3888" w:type="dxa"/>
            <w:gridSpan w:val="3"/>
            <w:vMerge/>
            <w:tcBorders>
              <w:left w:val="double" w:sz="4" w:space="0" w:color="auto"/>
            </w:tcBorders>
            <w:shd w:val="pct20" w:color="auto" w:fill="FFFFFF"/>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p>
        </w:tc>
        <w:tc>
          <w:tcPr>
            <w:tcW w:w="1080" w:type="dxa"/>
            <w:tcBorders>
              <w:top w:val="nil"/>
              <w:bottom w:val="nil"/>
            </w:tcBorders>
            <w:shd w:val="pct20" w:color="auto" w:fill="FFFFFF"/>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54</w:t>
            </w:r>
          </w:p>
        </w:tc>
        <w:tc>
          <w:tcPr>
            <w:tcW w:w="1476" w:type="dxa"/>
            <w:tcBorders>
              <w:top w:val="nil"/>
              <w:bottom w:val="nil"/>
            </w:tcBorders>
            <w:shd w:val="pct20" w:color="auto" w:fill="FFFFFF"/>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601-700</w:t>
            </w:r>
          </w:p>
        </w:tc>
      </w:tr>
      <w:tr w:rsidR="00501E85" w:rsidRPr="002F46E2" w:rsidTr="00501E85">
        <w:trPr>
          <w:cantSplit/>
          <w:jc w:val="center"/>
        </w:trPr>
        <w:tc>
          <w:tcPr>
            <w:tcW w:w="3888" w:type="dxa"/>
            <w:gridSpan w:val="3"/>
            <w:vMerge/>
            <w:tcBorders>
              <w:left w:val="double" w:sz="4" w:space="0" w:color="auto"/>
            </w:tcBorders>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p>
        </w:tc>
        <w:tc>
          <w:tcPr>
            <w:tcW w:w="1080" w:type="dxa"/>
            <w:tcBorders>
              <w:top w:val="nil"/>
              <w:bottom w:val="nil"/>
            </w:tcBorders>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42</w:t>
            </w:r>
          </w:p>
        </w:tc>
        <w:tc>
          <w:tcPr>
            <w:tcW w:w="1476" w:type="dxa"/>
            <w:tcBorders>
              <w:top w:val="nil"/>
              <w:bottom w:val="nil"/>
            </w:tcBorders>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701-800</w:t>
            </w:r>
          </w:p>
        </w:tc>
      </w:tr>
      <w:tr w:rsidR="00501E85" w:rsidRPr="002F46E2" w:rsidTr="00501E85">
        <w:trPr>
          <w:cantSplit/>
          <w:jc w:val="center"/>
        </w:trPr>
        <w:tc>
          <w:tcPr>
            <w:tcW w:w="3888" w:type="dxa"/>
            <w:gridSpan w:val="3"/>
            <w:vMerge/>
            <w:tcBorders>
              <w:left w:val="double" w:sz="4" w:space="0" w:color="auto"/>
            </w:tcBorders>
            <w:shd w:val="pct20" w:color="auto" w:fill="FFFFFF"/>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p>
        </w:tc>
        <w:tc>
          <w:tcPr>
            <w:tcW w:w="1080" w:type="dxa"/>
            <w:tcBorders>
              <w:top w:val="nil"/>
              <w:bottom w:val="nil"/>
            </w:tcBorders>
            <w:shd w:val="pct20" w:color="auto" w:fill="FFFFFF"/>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29</w:t>
            </w:r>
          </w:p>
        </w:tc>
        <w:tc>
          <w:tcPr>
            <w:tcW w:w="1476" w:type="dxa"/>
            <w:tcBorders>
              <w:top w:val="nil"/>
              <w:bottom w:val="nil"/>
            </w:tcBorders>
            <w:shd w:val="pct20" w:color="auto" w:fill="FFFFFF"/>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801-900</w:t>
            </w:r>
          </w:p>
        </w:tc>
      </w:tr>
      <w:tr w:rsidR="00501E85" w:rsidRPr="002F46E2" w:rsidTr="00501E85">
        <w:trPr>
          <w:cantSplit/>
          <w:jc w:val="center"/>
        </w:trPr>
        <w:tc>
          <w:tcPr>
            <w:tcW w:w="3888" w:type="dxa"/>
            <w:gridSpan w:val="3"/>
            <w:vMerge/>
            <w:tcBorders>
              <w:left w:val="double" w:sz="4" w:space="0" w:color="auto"/>
            </w:tcBorders>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p>
        </w:tc>
        <w:tc>
          <w:tcPr>
            <w:tcW w:w="1080" w:type="dxa"/>
            <w:tcBorders>
              <w:top w:val="nil"/>
              <w:bottom w:val="nil"/>
            </w:tcBorders>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15</w:t>
            </w:r>
          </w:p>
        </w:tc>
        <w:tc>
          <w:tcPr>
            <w:tcW w:w="1476" w:type="dxa"/>
            <w:tcBorders>
              <w:top w:val="nil"/>
              <w:bottom w:val="nil"/>
            </w:tcBorders>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901-1000</w:t>
            </w:r>
          </w:p>
        </w:tc>
      </w:tr>
      <w:tr w:rsidR="00501E85" w:rsidRPr="002F46E2" w:rsidTr="00501E85">
        <w:trPr>
          <w:cantSplit/>
          <w:jc w:val="center"/>
        </w:trPr>
        <w:tc>
          <w:tcPr>
            <w:tcW w:w="3888" w:type="dxa"/>
            <w:gridSpan w:val="3"/>
            <w:vMerge/>
            <w:tcBorders>
              <w:left w:val="double" w:sz="4" w:space="0" w:color="auto"/>
              <w:bottom w:val="double" w:sz="4" w:space="0" w:color="auto"/>
            </w:tcBorders>
            <w:shd w:val="pct20" w:color="auto" w:fill="FFFFFF"/>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p>
        </w:tc>
        <w:tc>
          <w:tcPr>
            <w:tcW w:w="1080" w:type="dxa"/>
            <w:tcBorders>
              <w:top w:val="nil"/>
              <w:bottom w:val="double" w:sz="4" w:space="0" w:color="auto"/>
            </w:tcBorders>
            <w:shd w:val="pct20" w:color="auto" w:fill="FFFFFF"/>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b/>
                <w:bCs/>
                <w:i/>
                <w:iCs/>
                <w:color w:val="000000"/>
                <w:kern w:val="2"/>
                <w:sz w:val="18"/>
                <w:szCs w:val="18"/>
              </w:rPr>
            </w:pPr>
            <w:r w:rsidRPr="002F46E2">
              <w:rPr>
                <w:rFonts w:ascii="Arial" w:hAnsi="Arial" w:cs="Arial"/>
                <w:color w:val="000000"/>
                <w:kern w:val="2"/>
                <w:sz w:val="18"/>
                <w:szCs w:val="18"/>
              </w:rPr>
              <w:t>Reject</w:t>
            </w:r>
          </w:p>
        </w:tc>
        <w:tc>
          <w:tcPr>
            <w:tcW w:w="1476" w:type="dxa"/>
            <w:tcBorders>
              <w:top w:val="nil"/>
              <w:bottom w:val="double" w:sz="4" w:space="0" w:color="auto"/>
            </w:tcBorders>
            <w:shd w:val="pct20" w:color="auto" w:fill="FFFFFF"/>
            <w:vAlign w:val="center"/>
          </w:tcPr>
          <w:p w:rsidR="00501E85" w:rsidRPr="002F46E2" w:rsidRDefault="00501E85" w:rsidP="001B1F4C">
            <w:pPr>
              <w:keepNext/>
              <w:keepLines/>
              <w:tabs>
                <w:tab w:val="left" w:pos="-720"/>
                <w:tab w:val="left" w:pos="-360"/>
                <w:tab w:val="left" w:pos="0"/>
                <w:tab w:val="left" w:pos="360"/>
                <w:tab w:val="left" w:pos="720"/>
                <w:tab w:val="left" w:pos="1080"/>
                <w:tab w:val="left" w:pos="1440"/>
                <w:tab w:val="left" w:pos="1800"/>
              </w:tabs>
              <w:jc w:val="center"/>
              <w:rPr>
                <w:rFonts w:ascii="Arial" w:hAnsi="Arial" w:cs="Arial"/>
                <w:color w:val="000000"/>
                <w:kern w:val="2"/>
                <w:sz w:val="18"/>
                <w:szCs w:val="18"/>
              </w:rPr>
            </w:pPr>
            <w:r w:rsidRPr="002F46E2">
              <w:rPr>
                <w:rFonts w:ascii="Arial" w:hAnsi="Arial" w:cs="Arial"/>
                <w:color w:val="000000"/>
                <w:kern w:val="2"/>
                <w:sz w:val="18"/>
                <w:szCs w:val="18"/>
              </w:rPr>
              <w:t>Over 1000</w:t>
            </w:r>
          </w:p>
        </w:tc>
      </w:tr>
    </w:tbl>
    <w:p w:rsidR="00AA36CC" w:rsidRDefault="00AA36CC" w:rsidP="00D16104"/>
    <w:sectPr w:rsidR="00AA36CC" w:rsidSect="00501E85">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8B" w:rsidRDefault="0097358B" w:rsidP="00F878BD">
      <w:r>
        <w:separator/>
      </w:r>
    </w:p>
  </w:endnote>
  <w:endnote w:type="continuationSeparator" w:id="0">
    <w:p w:rsidR="0097358B" w:rsidRDefault="0097358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8B" w:rsidRDefault="0097358B" w:rsidP="00F878BD">
      <w:r>
        <w:separator/>
      </w:r>
    </w:p>
  </w:footnote>
  <w:footnote w:type="continuationSeparator" w:id="0">
    <w:p w:rsidR="0097358B" w:rsidRDefault="0097358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344A314E"/>
    <w:multiLevelType w:val="hybridMultilevel"/>
    <w:tmpl w:val="87F8A2FA"/>
    <w:lvl w:ilvl="0" w:tplc="3B464FDE">
      <w:start w:val="4"/>
      <w:numFmt w:val="lowerLetter"/>
      <w:lvlText w:val="(%1)"/>
      <w:lvlJc w:val="left"/>
      <w:pPr>
        <w:tabs>
          <w:tab w:val="num" w:pos="432"/>
        </w:tabs>
        <w:ind w:left="432" w:hanging="432"/>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0831F3"/>
    <w:multiLevelType w:val="hybridMultilevel"/>
    <w:tmpl w:val="85545770"/>
    <w:lvl w:ilvl="0" w:tplc="37F2C956">
      <w:start w:val="2"/>
      <w:numFmt w:val="lowerLetter"/>
      <w:lvlText w:val="(%1)"/>
      <w:lvlJc w:val="left"/>
      <w:pPr>
        <w:tabs>
          <w:tab w:val="num" w:pos="432"/>
        </w:tabs>
        <w:ind w:left="432" w:hanging="432"/>
      </w:pPr>
      <w:rPr>
        <w:rFonts w:ascii="Times New Roman" w:hAnsi="Times New Roman" w:cs="Times New Roman" w:hint="default"/>
        <w:b w:val="0"/>
        <w:i w:val="0"/>
        <w:sz w:val="22"/>
        <w:szCs w:val="22"/>
      </w:rPr>
    </w:lvl>
    <w:lvl w:ilvl="1" w:tplc="15A26BA0">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41C4"/>
    <w:rsid w:val="00013D87"/>
    <w:rsid w:val="000225FA"/>
    <w:rsid w:val="000A595C"/>
    <w:rsid w:val="00114C37"/>
    <w:rsid w:val="00142E6D"/>
    <w:rsid w:val="0015583A"/>
    <w:rsid w:val="001C3F85"/>
    <w:rsid w:val="002B42DF"/>
    <w:rsid w:val="002F46E2"/>
    <w:rsid w:val="003C3F1C"/>
    <w:rsid w:val="00441D2F"/>
    <w:rsid w:val="00446705"/>
    <w:rsid w:val="00501E85"/>
    <w:rsid w:val="0056039E"/>
    <w:rsid w:val="00572D1D"/>
    <w:rsid w:val="006102CC"/>
    <w:rsid w:val="00650E0A"/>
    <w:rsid w:val="00726A77"/>
    <w:rsid w:val="00765FBB"/>
    <w:rsid w:val="007735BF"/>
    <w:rsid w:val="007854AB"/>
    <w:rsid w:val="00794D3A"/>
    <w:rsid w:val="00814549"/>
    <w:rsid w:val="00870736"/>
    <w:rsid w:val="008D4DE9"/>
    <w:rsid w:val="0097358B"/>
    <w:rsid w:val="00973DFA"/>
    <w:rsid w:val="00987248"/>
    <w:rsid w:val="009B753B"/>
    <w:rsid w:val="009B7672"/>
    <w:rsid w:val="009F3FE4"/>
    <w:rsid w:val="00A14275"/>
    <w:rsid w:val="00A73269"/>
    <w:rsid w:val="00A76618"/>
    <w:rsid w:val="00A85AA1"/>
    <w:rsid w:val="00A92397"/>
    <w:rsid w:val="00A9726C"/>
    <w:rsid w:val="00AA36CC"/>
    <w:rsid w:val="00AC7AF4"/>
    <w:rsid w:val="00B25927"/>
    <w:rsid w:val="00B403D1"/>
    <w:rsid w:val="00B43E9F"/>
    <w:rsid w:val="00B61E79"/>
    <w:rsid w:val="00B91FF1"/>
    <w:rsid w:val="00C34920"/>
    <w:rsid w:val="00C441C0"/>
    <w:rsid w:val="00CD1CA4"/>
    <w:rsid w:val="00CE3831"/>
    <w:rsid w:val="00D16104"/>
    <w:rsid w:val="00D73294"/>
    <w:rsid w:val="00D9349C"/>
    <w:rsid w:val="00DE7DCD"/>
    <w:rsid w:val="00E11584"/>
    <w:rsid w:val="00E46A5E"/>
    <w:rsid w:val="00E647BB"/>
    <w:rsid w:val="00E85CC9"/>
    <w:rsid w:val="00EA7A41"/>
    <w:rsid w:val="00EC7A7E"/>
    <w:rsid w:val="00ED49EE"/>
    <w:rsid w:val="00EF1243"/>
    <w:rsid w:val="00F605A4"/>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CBEE06-2BFE-4045-8140-D131A2D1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character" w:styleId="CommentReference">
    <w:name w:val="annotation reference"/>
    <w:rsid w:val="00C441C0"/>
    <w:rPr>
      <w:sz w:val="16"/>
      <w:szCs w:val="16"/>
    </w:rPr>
  </w:style>
  <w:style w:type="paragraph" w:styleId="CommentText">
    <w:name w:val="annotation text"/>
    <w:basedOn w:val="Normal"/>
    <w:link w:val="CommentTextChar"/>
    <w:rsid w:val="00C441C0"/>
  </w:style>
  <w:style w:type="character" w:customStyle="1" w:styleId="CommentTextChar">
    <w:name w:val="Comment Text Char"/>
    <w:basedOn w:val="DefaultParagraphFont"/>
    <w:link w:val="CommentText"/>
    <w:rsid w:val="00C441C0"/>
  </w:style>
  <w:style w:type="paragraph" w:styleId="CommentSubject">
    <w:name w:val="annotation subject"/>
    <w:basedOn w:val="CommentText"/>
    <w:next w:val="CommentText"/>
    <w:link w:val="CommentSubjectChar"/>
    <w:rsid w:val="00C441C0"/>
    <w:rPr>
      <w:b/>
      <w:bCs/>
    </w:rPr>
  </w:style>
  <w:style w:type="character" w:customStyle="1" w:styleId="CommentSubjectChar">
    <w:name w:val="Comment Subject Char"/>
    <w:link w:val="CommentSubject"/>
    <w:rsid w:val="00C441C0"/>
    <w:rPr>
      <w:b/>
      <w:bCs/>
    </w:rPr>
  </w:style>
  <w:style w:type="paragraph" w:styleId="BalloonText">
    <w:name w:val="Balloon Text"/>
    <w:basedOn w:val="Normal"/>
    <w:link w:val="BalloonTextChar"/>
    <w:rsid w:val="00C441C0"/>
    <w:rPr>
      <w:rFonts w:ascii="Tahoma" w:hAnsi="Tahoma" w:cs="Tahoma"/>
      <w:sz w:val="16"/>
      <w:szCs w:val="16"/>
    </w:rPr>
  </w:style>
  <w:style w:type="character" w:customStyle="1" w:styleId="BalloonTextChar">
    <w:name w:val="Balloon Text Char"/>
    <w:link w:val="BalloonText"/>
    <w:rsid w:val="00C44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2015-10-27T15:41:00Z</cp:lastPrinted>
  <dcterms:created xsi:type="dcterms:W3CDTF">2015-10-27T15:43:00Z</dcterms:created>
  <dcterms:modified xsi:type="dcterms:W3CDTF">2015-10-27T15:56:00Z</dcterms:modified>
</cp:coreProperties>
</file>