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3438CF">
        <w:rPr>
          <w:rFonts w:ascii="Arial" w:hAnsi="Arial"/>
          <w:color w:val="FF0000"/>
        </w:rPr>
        <w:t>0</w:t>
      </w:r>
      <w:r w:rsidR="006E4784">
        <w:rPr>
          <w:rFonts w:ascii="Arial" w:hAnsi="Arial"/>
          <w:color w:val="FF0000"/>
        </w:rPr>
        <w:t>4</w:t>
      </w:r>
      <w:r w:rsidR="00FA12A8">
        <w:rPr>
          <w:rFonts w:ascii="Arial" w:hAnsi="Arial"/>
          <w:color w:val="FF0000"/>
        </w:rPr>
        <w:t>-</w:t>
      </w:r>
      <w:r w:rsidR="006E4784">
        <w:rPr>
          <w:rFonts w:ascii="Arial" w:hAnsi="Arial"/>
          <w:color w:val="FF0000"/>
        </w:rPr>
        <w:t>07</w:t>
      </w:r>
      <w:r w:rsidR="00B37AC6" w:rsidRPr="009F5832">
        <w:rPr>
          <w:rFonts w:ascii="Arial" w:hAnsi="Arial"/>
          <w:color w:val="FF0000"/>
        </w:rPr>
        <w:t>-</w:t>
      </w:r>
      <w:r w:rsidR="00905C06">
        <w:rPr>
          <w:rFonts w:ascii="Arial" w:hAnsi="Arial"/>
          <w:color w:val="FF0000"/>
        </w:rPr>
        <w:t>1</w:t>
      </w:r>
      <w:r w:rsidR="003438CF">
        <w:rPr>
          <w:rFonts w:ascii="Arial" w:hAnsi="Arial"/>
          <w:color w:val="FF0000"/>
        </w:rPr>
        <w:t>6</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866F1">
        <w:rPr>
          <w:sz w:val="22"/>
        </w:rPr>
        <w:t>October 29, 2015</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3801C9">
        <w:rPr>
          <w:sz w:val="22"/>
        </w:rPr>
        <w:t>February 1</w:t>
      </w:r>
      <w:r w:rsidR="002F2D55">
        <w:rPr>
          <w:sz w:val="22"/>
        </w:rPr>
        <w:t>8</w:t>
      </w:r>
      <w:r w:rsidR="00F67B89">
        <w:rPr>
          <w:sz w:val="22"/>
        </w:rPr>
        <w:t xml:space="preserve">, </w:t>
      </w:r>
      <w:r w:rsidR="002F2D55">
        <w:rPr>
          <w:sz w:val="22"/>
        </w:rPr>
        <w:t>201</w:t>
      </w:r>
      <w:r w:rsidR="003801C9">
        <w:rPr>
          <w:sz w:val="22"/>
        </w:rPr>
        <w:t>6</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Pr="00307018"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535D98" w:rsidRPr="005E56A4" w:rsidRDefault="00535D98" w:rsidP="00535D98">
      <w:pPr>
        <w:shd w:val="clear" w:color="auto" w:fill="EEECE1" w:themeFill="background2"/>
        <w:tabs>
          <w:tab w:val="left" w:pos="360"/>
          <w:tab w:val="left" w:pos="7920"/>
          <w:tab w:val="right" w:pos="9900"/>
        </w:tabs>
        <w:rPr>
          <w:sz w:val="22"/>
        </w:rPr>
      </w:pPr>
      <w:r w:rsidRPr="005E56A4">
        <w:rPr>
          <w:sz w:val="22"/>
        </w:rPr>
        <w:t xml:space="preserve">Revision of Section 106 – </w:t>
      </w:r>
      <w:r w:rsidRPr="00535D98">
        <w:rPr>
          <w:sz w:val="22"/>
        </w:rPr>
        <w:t>Special Notice to Contractors – Buy America</w:t>
      </w:r>
      <w:r>
        <w:rPr>
          <w:sz w:val="22"/>
        </w:rPr>
        <w:t xml:space="preserve"> Requirements</w:t>
      </w:r>
      <w:r w:rsidRPr="005E56A4">
        <w:rPr>
          <w:sz w:val="22"/>
        </w:rPr>
        <w:tab/>
        <w:t>(</w:t>
      </w:r>
      <w:r>
        <w:rPr>
          <w:sz w:val="22"/>
        </w:rPr>
        <w:t>April 7. 2016</w:t>
      </w:r>
      <w:bookmarkStart w:id="0" w:name="_GoBack"/>
      <w:bookmarkEnd w:id="0"/>
      <w:r w:rsidRPr="005E56A4">
        <w:rPr>
          <w:sz w:val="22"/>
        </w:rPr>
        <w:t>)</w:t>
      </w:r>
      <w:r w:rsidRPr="005E56A4">
        <w:rPr>
          <w:sz w:val="22"/>
        </w:rPr>
        <w:tab/>
        <w:t>1</w:t>
      </w:r>
    </w:p>
    <w:p w:rsidR="00535D98" w:rsidRPr="00535D98" w:rsidRDefault="00535D9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6512CD" w:rsidRDefault="006512CD" w:rsidP="004906EC">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99589C" w:rsidRDefault="0099589C">
      <w:pPr>
        <w:rPr>
          <w:i/>
          <w:color w:val="0000FF"/>
          <w:sz w:val="22"/>
        </w:rPr>
      </w:pPr>
      <w:r>
        <w:rPr>
          <w:i/>
          <w:color w:val="0000FF"/>
          <w:sz w:val="22"/>
        </w:rPr>
        <w:br w:type="page"/>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lastRenderedPageBreak/>
        <w:t>Revision of Sections 106, 627 and 713 - Glass Beads for Pavement Marking</w:t>
      </w:r>
      <w:r>
        <w:rPr>
          <w:sz w:val="22"/>
          <w:szCs w:val="22"/>
        </w:rPr>
        <w:tab/>
        <w:t>(February 8, 2013)</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proofErr w:type="gramStart"/>
      <w:r>
        <w:rPr>
          <w:i/>
          <w:color w:val="0000FF"/>
          <w:sz w:val="22"/>
        </w:rPr>
        <w:t>for</w:t>
      </w:r>
      <w:proofErr w:type="gramEnd"/>
      <w:r>
        <w:rPr>
          <w:i/>
          <w:color w:val="0000FF"/>
          <w:sz w:val="22"/>
        </w:rPr>
        <w:t xml:space="preserve">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CD02D7">
        <w:rPr>
          <w:sz w:val="22"/>
        </w:rPr>
        <w:t>April 30, 2015</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proofErr w:type="gramStart"/>
      <w:r>
        <w:rPr>
          <w:i/>
          <w:color w:val="0000FF"/>
          <w:sz w:val="22"/>
        </w:rPr>
        <w:t>are expected</w:t>
      </w:r>
      <w:proofErr w:type="gramEnd"/>
      <w:r>
        <w:rPr>
          <w:i/>
          <w:color w:val="0000FF"/>
          <w:sz w:val="22"/>
        </w:rPr>
        <w:t xml:space="preserve"> to </w:t>
      </w:r>
      <w:r w:rsidR="0054453E">
        <w:rPr>
          <w:i/>
          <w:color w:val="0000FF"/>
          <w:sz w:val="22"/>
        </w:rPr>
        <w:t>require more than one State fiscal year to complete</w:t>
      </w:r>
      <w:r>
        <w:rPr>
          <w:i/>
          <w:color w:val="0000FF"/>
          <w:sz w:val="22"/>
        </w:rPr>
        <w:t>.</w:t>
      </w:r>
    </w:p>
    <w:p w:rsidR="007C303A" w:rsidRDefault="007C303A">
      <w:pPr>
        <w:rPr>
          <w:i/>
          <w:color w:val="0000FF"/>
          <w:sz w:val="22"/>
        </w:rPr>
      </w:pPr>
      <w:r>
        <w:rPr>
          <w:i/>
          <w:color w:val="0000FF"/>
          <w:sz w:val="22"/>
        </w:rPr>
        <w:br w:type="page"/>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lastRenderedPageBreak/>
        <w:t>Revision of Section 109 – Asphalt Cement Cost Adjustment</w:t>
      </w:r>
      <w:r w:rsidRPr="005E56A4">
        <w:rPr>
          <w:sz w:val="22"/>
        </w:rPr>
        <w:tab/>
        <w:t>(</w:t>
      </w:r>
      <w:r w:rsidR="00497353">
        <w:rPr>
          <w:sz w:val="22"/>
        </w:rPr>
        <w:t>A</w:t>
      </w:r>
      <w:r w:rsidR="001074F6">
        <w:rPr>
          <w:sz w:val="22"/>
        </w:rPr>
        <w:t>ugust 3</w:t>
      </w:r>
      <w:r w:rsidR="00497353">
        <w:rPr>
          <w:sz w:val="22"/>
        </w:rPr>
        <w:t>, 201</w:t>
      </w:r>
      <w:r w:rsidR="001074F6">
        <w:rPr>
          <w:sz w:val="22"/>
        </w:rPr>
        <w:t>5</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P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t>(</w:t>
      </w:r>
      <w:r>
        <w:rPr>
          <w:i w:val="0"/>
        </w:rPr>
        <w:t>December 18</w:t>
      </w:r>
      <w:r w:rsidRPr="005E56A4">
        <w:rPr>
          <w:i w:val="0"/>
        </w:rPr>
        <w:t>, 201</w:t>
      </w:r>
      <w:r>
        <w:rPr>
          <w:i w:val="0"/>
        </w:rPr>
        <w:t>5</w:t>
      </w:r>
      <w:r w:rsidRPr="005E56A4">
        <w:rPr>
          <w:i w:val="0"/>
        </w:rPr>
        <w:t>)</w:t>
      </w:r>
      <w:r w:rsidRPr="005E56A4">
        <w:rPr>
          <w:i w:val="0"/>
        </w:rPr>
        <w:tab/>
      </w:r>
      <w:r w:rsidRPr="005E56A4">
        <w:rPr>
          <w:i w:val="0"/>
        </w:rPr>
        <w:tab/>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w:t>
      </w:r>
      <w:r w:rsidRPr="005E56A4">
        <w:rPr>
          <w:sz w:val="22"/>
        </w:rPr>
        <w:tab/>
        <w:t>(</w:t>
      </w:r>
      <w:r w:rsidR="00B211E2">
        <w:rPr>
          <w:sz w:val="22"/>
        </w:rPr>
        <w:t>March 29</w:t>
      </w:r>
      <w:r>
        <w:rPr>
          <w:sz w:val="22"/>
        </w:rPr>
        <w:t>, 2016</w:t>
      </w:r>
      <w:r w:rsidRPr="005E56A4">
        <w:rPr>
          <w:sz w:val="22"/>
        </w:rPr>
        <w:t>)</w:t>
      </w:r>
      <w:r w:rsidRPr="005E56A4">
        <w:rPr>
          <w:sz w:val="22"/>
        </w:rPr>
        <w:tab/>
      </w:r>
      <w:r>
        <w:rPr>
          <w:sz w:val="22"/>
        </w:rPr>
        <w:t xml:space="preserve"> 23</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7C303A" w:rsidRDefault="007C303A">
      <w:pPr>
        <w:rPr>
          <w:i/>
          <w:color w:val="0000FF"/>
          <w:sz w:val="22"/>
        </w:rPr>
      </w:pPr>
      <w:r>
        <w:rPr>
          <w:i/>
          <w:color w:val="0000FF"/>
          <w:sz w:val="22"/>
        </w:rPr>
        <w:br w:type="page"/>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w:t>
      </w:r>
      <w:r w:rsidR="00910D1A">
        <w:rPr>
          <w:sz w:val="22"/>
        </w:rPr>
        <w:t>uly 16, 2015</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w:t>
      </w:r>
      <w:r w:rsidR="00F4695D">
        <w:rPr>
          <w:sz w:val="22"/>
        </w:rPr>
        <w:t>anuary 15, 2015</w:t>
      </w:r>
      <w:r w:rsidRPr="005E56A4">
        <w:rPr>
          <w:sz w:val="22"/>
        </w:rPr>
        <w:t>)</w:t>
      </w:r>
      <w:r w:rsidRPr="005E56A4">
        <w:rPr>
          <w:sz w:val="22"/>
        </w:rPr>
        <w:tab/>
      </w:r>
      <w:r>
        <w:rPr>
          <w:sz w:val="22"/>
        </w:rPr>
        <w:t>1</w:t>
      </w:r>
      <w:r w:rsidR="007E67AD">
        <w:rPr>
          <w:sz w:val="22"/>
        </w:rPr>
        <w:t>4</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0F2CE4">
        <w:rPr>
          <w:sz w:val="22"/>
        </w:rPr>
        <w:t>October 29, 2015</w:t>
      </w:r>
      <w:r w:rsidRPr="005E56A4">
        <w:rPr>
          <w:sz w:val="22"/>
        </w:rPr>
        <w:t>)</w:t>
      </w:r>
      <w:r w:rsidRPr="005E56A4">
        <w:rPr>
          <w:sz w:val="22"/>
        </w:rPr>
        <w:tab/>
      </w:r>
      <w:r w:rsidR="000F2CE4">
        <w:rPr>
          <w:sz w:val="22"/>
        </w:rPr>
        <w:t>3</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7C303A" w:rsidRDefault="007C303A">
      <w:pPr>
        <w:rPr>
          <w:noProof/>
          <w:color w:val="0000FF"/>
          <w:sz w:val="22"/>
        </w:rPr>
      </w:pPr>
      <w:r>
        <w:rPr>
          <w:i/>
          <w:noProof/>
          <w:color w:val="0000FF"/>
        </w:rPr>
        <w:br w:type="page"/>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7C303A" w:rsidRDefault="007C303A">
      <w:pPr>
        <w:rPr>
          <w:color w:val="0000FF"/>
          <w:sz w:val="22"/>
        </w:rPr>
      </w:pPr>
      <w:r>
        <w:rPr>
          <w:color w:val="0000FF"/>
          <w:sz w:val="22"/>
        </w:rPr>
        <w:br w:type="page"/>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proofErr w:type="gramStart"/>
      <w:r w:rsidRPr="00995B1D">
        <w:rPr>
          <w:i/>
          <w:iCs/>
          <w:color w:val="0000FF"/>
          <w:sz w:val="22"/>
        </w:rPr>
        <w:t>the</w:t>
      </w:r>
      <w:proofErr w:type="gramEnd"/>
      <w:r w:rsidRPr="00995B1D">
        <w:rPr>
          <w:i/>
          <w:iCs/>
          <w:color w:val="0000FF"/>
          <w:sz w:val="22"/>
        </w:rPr>
        <w:t xml:space="preserv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E66E79" w:rsidRPr="00E66E79" w:rsidRDefault="00E66E79" w:rsidP="00E66E79">
      <w:pPr>
        <w:tabs>
          <w:tab w:val="left" w:pos="360"/>
          <w:tab w:val="left" w:pos="7920"/>
          <w:tab w:val="right" w:pos="9900"/>
        </w:tabs>
        <w:spacing w:after="120"/>
        <w:ind w:left="360" w:right="2347"/>
        <w:rPr>
          <w:color w:val="0000FF"/>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w:t>
      </w:r>
      <w:proofErr w:type="spellStart"/>
      <w:r w:rsidRPr="00D85072">
        <w:rPr>
          <w:i/>
          <w:color w:val="0000FF"/>
          <w:sz w:val="22"/>
        </w:rPr>
        <w:t>RME</w:t>
      </w:r>
      <w:proofErr w:type="spellEnd"/>
      <w:r w:rsidRPr="00D85072">
        <w:rPr>
          <w:i/>
          <w:color w:val="0000FF"/>
          <w:sz w:val="22"/>
        </w:rPr>
        <w:t>) to determine use.</w:t>
      </w:r>
    </w:p>
    <w:p w:rsidR="001B4F84" w:rsidRDefault="001B4F84">
      <w:pPr>
        <w:rPr>
          <w:color w:val="0000FF"/>
          <w:sz w:val="22"/>
        </w:rPr>
      </w:pPr>
      <w:r>
        <w:rPr>
          <w:color w:val="0000FF"/>
          <w:sz w:val="22"/>
        </w:rPr>
        <w:br w:type="page"/>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lastRenderedPageBreak/>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sidR="004B3667" w:rsidRPr="004B3667">
        <w:rPr>
          <w:sz w:val="22"/>
        </w:rPr>
        <w:t>January 15, 2015</w:t>
      </w:r>
      <w:r w:rsidRPr="005E56A4">
        <w:rPr>
          <w:sz w:val="22"/>
        </w:rPr>
        <w:t>)</w:t>
      </w:r>
      <w:r w:rsidRPr="005E56A4">
        <w:rPr>
          <w:sz w:val="22"/>
        </w:rPr>
        <w:tab/>
      </w:r>
      <w:r>
        <w:rPr>
          <w:sz w:val="22"/>
        </w:rPr>
        <w:t>2</w:t>
      </w:r>
    </w:p>
    <w:p w:rsidR="008171FF" w:rsidRDefault="00A42BEB" w:rsidP="00FF4348">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B75535" w:rsidRPr="005E56A4" w:rsidRDefault="00B75535" w:rsidP="00B75535">
      <w:pPr>
        <w:shd w:val="clear" w:color="auto" w:fill="EEECE1" w:themeFill="background2"/>
        <w:tabs>
          <w:tab w:val="left" w:pos="360"/>
          <w:tab w:val="left" w:pos="7920"/>
          <w:tab w:val="right" w:pos="9900"/>
        </w:tabs>
        <w:rPr>
          <w:sz w:val="22"/>
        </w:rPr>
      </w:pPr>
      <w:r>
        <w:rPr>
          <w:sz w:val="22"/>
        </w:rPr>
        <w:t>Revision of Section 713</w:t>
      </w:r>
      <w:r w:rsidRPr="005E56A4">
        <w:rPr>
          <w:sz w:val="22"/>
        </w:rPr>
        <w:t xml:space="preserve"> – </w:t>
      </w:r>
      <w:r>
        <w:rPr>
          <w:sz w:val="22"/>
        </w:rPr>
        <w:t>Sign Panel Backgrounds</w:t>
      </w:r>
      <w:r w:rsidRPr="005E56A4">
        <w:rPr>
          <w:sz w:val="22"/>
        </w:rPr>
        <w:tab/>
        <w:t>(</w:t>
      </w:r>
      <w:r>
        <w:rPr>
          <w:sz w:val="22"/>
        </w:rPr>
        <w:t>November 6, 2014</w:t>
      </w:r>
      <w:r w:rsidRPr="005E56A4">
        <w:rPr>
          <w:sz w:val="22"/>
        </w:rPr>
        <w:t>)</w:t>
      </w:r>
      <w:r w:rsidRPr="005E56A4">
        <w:rPr>
          <w:sz w:val="22"/>
        </w:rPr>
        <w:tab/>
        <w:t>1</w:t>
      </w:r>
    </w:p>
    <w:p w:rsidR="00B75535" w:rsidRPr="00434262" w:rsidRDefault="00B75535" w:rsidP="00B75535">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with sign panels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4A0BC4">
        <w:rPr>
          <w:sz w:val="22"/>
        </w:rPr>
        <w:t>8</w:t>
      </w:r>
      <w:r w:rsidR="00DE0DF9">
        <w:rPr>
          <w:sz w:val="22"/>
        </w:rPr>
        <w:t xml:space="preserve">, </w:t>
      </w:r>
      <w:r w:rsidR="00BC5FE0" w:rsidRPr="005E56A4">
        <w:rPr>
          <w:sz w:val="22"/>
        </w:rPr>
        <w:t>201</w:t>
      </w:r>
      <w:r w:rsidR="004A0BC4">
        <w:rPr>
          <w:sz w:val="22"/>
        </w:rPr>
        <w:t>6</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4A0BC4">
        <w:rPr>
          <w:sz w:val="22"/>
        </w:rPr>
        <w:t>6</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7072AA">
        <w:rPr>
          <w:sz w:val="22"/>
        </w:rPr>
        <w:t>8</w:t>
      </w:r>
      <w:r w:rsidR="0047138C" w:rsidRPr="0047138C">
        <w:rPr>
          <w:sz w:val="22"/>
        </w:rPr>
        <w:t>, 201</w:t>
      </w:r>
      <w:r w:rsidR="007072AA">
        <w:rPr>
          <w:sz w:val="22"/>
        </w:rPr>
        <w:t>6</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FF4348" w:rsidRDefault="00FF4348">
      <w:pPr>
        <w:rPr>
          <w:color w:val="0000FF"/>
          <w:sz w:val="22"/>
          <w:szCs w:val="22"/>
        </w:rPr>
      </w:pPr>
      <w:r>
        <w:rPr>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903FC" w:rsidRPr="00E903FC">
        <w:rPr>
          <w:sz w:val="22"/>
        </w:rPr>
        <w:t>(J</w:t>
      </w:r>
      <w:r w:rsidR="007072AA">
        <w:rPr>
          <w:sz w:val="22"/>
        </w:rPr>
        <w:t>anuary 8</w:t>
      </w:r>
      <w:r w:rsidR="00E903FC" w:rsidRPr="00E903FC">
        <w:rPr>
          <w:sz w:val="22"/>
        </w:rPr>
        <w:t>, 201</w:t>
      </w:r>
      <w:r w:rsidR="007072AA">
        <w:rPr>
          <w:sz w:val="22"/>
        </w:rPr>
        <w:t>6</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7072AA">
        <w:rPr>
          <w:sz w:val="22"/>
        </w:rPr>
        <w:t>8</w:t>
      </w:r>
      <w:r w:rsidR="00F9665C" w:rsidRPr="00F9665C">
        <w:rPr>
          <w:sz w:val="22"/>
        </w:rPr>
        <w:t>, 201</w:t>
      </w:r>
      <w:r w:rsidR="007072AA">
        <w:rPr>
          <w:sz w:val="22"/>
        </w:rPr>
        <w:t>6</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7072AA">
        <w:rPr>
          <w:sz w:val="22"/>
        </w:rPr>
        <w:t>6</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7072AA">
        <w:rPr>
          <w:sz w:val="22"/>
        </w:rPr>
        <w:t>6</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946BDE">
        <w:rPr>
          <w:sz w:val="22"/>
        </w:rPr>
        <w:t>8</w:t>
      </w:r>
      <w:r w:rsidR="00EF05AB" w:rsidRPr="00EF05AB">
        <w:rPr>
          <w:sz w:val="22"/>
        </w:rPr>
        <w:t>, 201</w:t>
      </w:r>
      <w:r w:rsidR="00946BDE">
        <w:rPr>
          <w:sz w:val="22"/>
        </w:rPr>
        <w:t>6</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FF4348" w:rsidRDefault="00FF4348">
      <w:pPr>
        <w:rPr>
          <w:color w:val="0000FF"/>
          <w:sz w:val="22"/>
          <w:szCs w:val="22"/>
        </w:rPr>
      </w:pPr>
      <w:r>
        <w:rPr>
          <w:color w:val="0000FF"/>
          <w:sz w:val="22"/>
          <w:szCs w:val="22"/>
        </w:rPr>
        <w:br w:type="page"/>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lastRenderedPageBreak/>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228" w:rsidRDefault="00173228">
      <w:r>
        <w:separator/>
      </w:r>
    </w:p>
  </w:endnote>
  <w:endnote w:type="continuationSeparator" w:id="0">
    <w:p w:rsidR="00173228" w:rsidRDefault="0017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E43C2B">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228" w:rsidRDefault="00173228">
      <w:r>
        <w:separator/>
      </w:r>
    </w:p>
  </w:footnote>
  <w:footnote w:type="continuationSeparator" w:id="0">
    <w:p w:rsidR="00173228" w:rsidRDefault="00173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B83"/>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228"/>
    <w:rsid w:val="00173F26"/>
    <w:rsid w:val="00174BD9"/>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57A"/>
    <w:rsid w:val="001C74D9"/>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EA9"/>
    <w:rsid w:val="00203FBE"/>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80"/>
    <w:rsid w:val="002D2E81"/>
    <w:rsid w:val="002D4972"/>
    <w:rsid w:val="002D62AB"/>
    <w:rsid w:val="002D77C9"/>
    <w:rsid w:val="002E145A"/>
    <w:rsid w:val="002E1F94"/>
    <w:rsid w:val="002E27F1"/>
    <w:rsid w:val="002E2E41"/>
    <w:rsid w:val="002E2F56"/>
    <w:rsid w:val="002E3C05"/>
    <w:rsid w:val="002E5896"/>
    <w:rsid w:val="002E7649"/>
    <w:rsid w:val="002F005A"/>
    <w:rsid w:val="002F1221"/>
    <w:rsid w:val="002F2D55"/>
    <w:rsid w:val="002F305A"/>
    <w:rsid w:val="003008AA"/>
    <w:rsid w:val="00301A1D"/>
    <w:rsid w:val="00301EFD"/>
    <w:rsid w:val="00302B54"/>
    <w:rsid w:val="00305526"/>
    <w:rsid w:val="00307018"/>
    <w:rsid w:val="003104F0"/>
    <w:rsid w:val="0031071D"/>
    <w:rsid w:val="00311B51"/>
    <w:rsid w:val="00312962"/>
    <w:rsid w:val="00312EC6"/>
    <w:rsid w:val="0031596F"/>
    <w:rsid w:val="0031628E"/>
    <w:rsid w:val="00316379"/>
    <w:rsid w:val="00320DCA"/>
    <w:rsid w:val="0032278F"/>
    <w:rsid w:val="0032554D"/>
    <w:rsid w:val="00326071"/>
    <w:rsid w:val="003268DF"/>
    <w:rsid w:val="00327C86"/>
    <w:rsid w:val="0033215C"/>
    <w:rsid w:val="0033562B"/>
    <w:rsid w:val="00337298"/>
    <w:rsid w:val="00337838"/>
    <w:rsid w:val="00340ACF"/>
    <w:rsid w:val="003438CF"/>
    <w:rsid w:val="0034476D"/>
    <w:rsid w:val="0034560D"/>
    <w:rsid w:val="003470E4"/>
    <w:rsid w:val="003503F9"/>
    <w:rsid w:val="0035088A"/>
    <w:rsid w:val="00351644"/>
    <w:rsid w:val="00351FCE"/>
    <w:rsid w:val="0035316D"/>
    <w:rsid w:val="00355D5F"/>
    <w:rsid w:val="00357097"/>
    <w:rsid w:val="00360160"/>
    <w:rsid w:val="00360289"/>
    <w:rsid w:val="00361214"/>
    <w:rsid w:val="00361CB9"/>
    <w:rsid w:val="00361DFF"/>
    <w:rsid w:val="00362411"/>
    <w:rsid w:val="00362724"/>
    <w:rsid w:val="00364516"/>
    <w:rsid w:val="00365614"/>
    <w:rsid w:val="00372142"/>
    <w:rsid w:val="00373BBF"/>
    <w:rsid w:val="003801C9"/>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301"/>
    <w:rsid w:val="004C732D"/>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D8D"/>
    <w:rsid w:val="00533FC0"/>
    <w:rsid w:val="00534892"/>
    <w:rsid w:val="00535BF7"/>
    <w:rsid w:val="00535D98"/>
    <w:rsid w:val="00537166"/>
    <w:rsid w:val="00537FD9"/>
    <w:rsid w:val="00540379"/>
    <w:rsid w:val="0054121B"/>
    <w:rsid w:val="0054179F"/>
    <w:rsid w:val="00541834"/>
    <w:rsid w:val="005431D7"/>
    <w:rsid w:val="005435B3"/>
    <w:rsid w:val="0054453E"/>
    <w:rsid w:val="005462F1"/>
    <w:rsid w:val="00546683"/>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11E1"/>
    <w:rsid w:val="006E1EF0"/>
    <w:rsid w:val="006E4784"/>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E3C"/>
    <w:rsid w:val="007133E4"/>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4ADD"/>
    <w:rsid w:val="00745B6F"/>
    <w:rsid w:val="00745BFD"/>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7D3D"/>
    <w:rsid w:val="00880258"/>
    <w:rsid w:val="008815E6"/>
    <w:rsid w:val="00882AD6"/>
    <w:rsid w:val="00882AEE"/>
    <w:rsid w:val="00882B75"/>
    <w:rsid w:val="0088389F"/>
    <w:rsid w:val="00884130"/>
    <w:rsid w:val="00885BF8"/>
    <w:rsid w:val="00885C62"/>
    <w:rsid w:val="008860D5"/>
    <w:rsid w:val="008923C3"/>
    <w:rsid w:val="0089289A"/>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65FF"/>
    <w:rsid w:val="008C6E2D"/>
    <w:rsid w:val="008D0D7F"/>
    <w:rsid w:val="008D2165"/>
    <w:rsid w:val="008D21FF"/>
    <w:rsid w:val="008D2670"/>
    <w:rsid w:val="008D5CA0"/>
    <w:rsid w:val="008E160D"/>
    <w:rsid w:val="008E2ADB"/>
    <w:rsid w:val="008E3920"/>
    <w:rsid w:val="008E3FDE"/>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1236"/>
    <w:rsid w:val="009122A6"/>
    <w:rsid w:val="0091276F"/>
    <w:rsid w:val="0091440B"/>
    <w:rsid w:val="00916685"/>
    <w:rsid w:val="00920C3D"/>
    <w:rsid w:val="00920E8F"/>
    <w:rsid w:val="0092294A"/>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8DA"/>
    <w:rsid w:val="00946A53"/>
    <w:rsid w:val="00946BDE"/>
    <w:rsid w:val="00951260"/>
    <w:rsid w:val="0095347B"/>
    <w:rsid w:val="00957608"/>
    <w:rsid w:val="00957794"/>
    <w:rsid w:val="00960449"/>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B0123"/>
    <w:rsid w:val="009B188B"/>
    <w:rsid w:val="009B1FDE"/>
    <w:rsid w:val="009B2ACC"/>
    <w:rsid w:val="009B3414"/>
    <w:rsid w:val="009B3440"/>
    <w:rsid w:val="009B760B"/>
    <w:rsid w:val="009B7945"/>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979"/>
    <w:rsid w:val="009D6E88"/>
    <w:rsid w:val="009D728D"/>
    <w:rsid w:val="009E1F3A"/>
    <w:rsid w:val="009E1FE8"/>
    <w:rsid w:val="009E3528"/>
    <w:rsid w:val="009E510C"/>
    <w:rsid w:val="009E53FE"/>
    <w:rsid w:val="009E5BBC"/>
    <w:rsid w:val="009E67B7"/>
    <w:rsid w:val="009E69DE"/>
    <w:rsid w:val="009E7387"/>
    <w:rsid w:val="009F0534"/>
    <w:rsid w:val="009F0C38"/>
    <w:rsid w:val="009F1B9C"/>
    <w:rsid w:val="009F304F"/>
    <w:rsid w:val="009F480D"/>
    <w:rsid w:val="009F55E0"/>
    <w:rsid w:val="009F5832"/>
    <w:rsid w:val="009F7272"/>
    <w:rsid w:val="00A02D44"/>
    <w:rsid w:val="00A03545"/>
    <w:rsid w:val="00A05FB3"/>
    <w:rsid w:val="00A06344"/>
    <w:rsid w:val="00A07896"/>
    <w:rsid w:val="00A07B4E"/>
    <w:rsid w:val="00A12C3D"/>
    <w:rsid w:val="00A13688"/>
    <w:rsid w:val="00A13E6A"/>
    <w:rsid w:val="00A154A2"/>
    <w:rsid w:val="00A15D71"/>
    <w:rsid w:val="00A166A0"/>
    <w:rsid w:val="00A16863"/>
    <w:rsid w:val="00A17D3F"/>
    <w:rsid w:val="00A2045D"/>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84F"/>
    <w:rsid w:val="00A94A52"/>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428D"/>
    <w:rsid w:val="00AE51A6"/>
    <w:rsid w:val="00AE5F47"/>
    <w:rsid w:val="00AE642D"/>
    <w:rsid w:val="00AE7CBE"/>
    <w:rsid w:val="00AF519C"/>
    <w:rsid w:val="00AF605A"/>
    <w:rsid w:val="00AF6B9D"/>
    <w:rsid w:val="00B00CBA"/>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7ABE"/>
    <w:rsid w:val="00B67B10"/>
    <w:rsid w:val="00B67D5B"/>
    <w:rsid w:val="00B704A8"/>
    <w:rsid w:val="00B723DA"/>
    <w:rsid w:val="00B72495"/>
    <w:rsid w:val="00B73769"/>
    <w:rsid w:val="00B74BF2"/>
    <w:rsid w:val="00B7535C"/>
    <w:rsid w:val="00B75535"/>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79FD"/>
    <w:rsid w:val="00C7021D"/>
    <w:rsid w:val="00C72777"/>
    <w:rsid w:val="00C72A38"/>
    <w:rsid w:val="00C744D4"/>
    <w:rsid w:val="00C74A8A"/>
    <w:rsid w:val="00C74C8E"/>
    <w:rsid w:val="00C76FB6"/>
    <w:rsid w:val="00C77491"/>
    <w:rsid w:val="00C7774D"/>
    <w:rsid w:val="00C802D9"/>
    <w:rsid w:val="00C82660"/>
    <w:rsid w:val="00C82826"/>
    <w:rsid w:val="00C82EE9"/>
    <w:rsid w:val="00C836D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C2499"/>
    <w:rsid w:val="00CC255C"/>
    <w:rsid w:val="00CC2F8C"/>
    <w:rsid w:val="00CC60C3"/>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627"/>
    <w:rsid w:val="00DB5993"/>
    <w:rsid w:val="00DB61BA"/>
    <w:rsid w:val="00DB771D"/>
    <w:rsid w:val="00DC0C00"/>
    <w:rsid w:val="00DC0E6C"/>
    <w:rsid w:val="00DC1A90"/>
    <w:rsid w:val="00DC1E81"/>
    <w:rsid w:val="00DC2D0F"/>
    <w:rsid w:val="00DC5BC1"/>
    <w:rsid w:val="00DC6E1A"/>
    <w:rsid w:val="00DD0692"/>
    <w:rsid w:val="00DD16A1"/>
    <w:rsid w:val="00DD2260"/>
    <w:rsid w:val="00DD2FC6"/>
    <w:rsid w:val="00DE0643"/>
    <w:rsid w:val="00DE0DF9"/>
    <w:rsid w:val="00DE1C09"/>
    <w:rsid w:val="00DE3F35"/>
    <w:rsid w:val="00DE4211"/>
    <w:rsid w:val="00DE5224"/>
    <w:rsid w:val="00DE5846"/>
    <w:rsid w:val="00DE59A5"/>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2374"/>
    <w:rsid w:val="00E8384F"/>
    <w:rsid w:val="00E851BC"/>
    <w:rsid w:val="00E86388"/>
    <w:rsid w:val="00E865FA"/>
    <w:rsid w:val="00E86EC7"/>
    <w:rsid w:val="00E87A7B"/>
    <w:rsid w:val="00E87DDF"/>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51A9"/>
    <w:rsid w:val="00F56FD6"/>
    <w:rsid w:val="00F5748C"/>
    <w:rsid w:val="00F5785D"/>
    <w:rsid w:val="00F60F1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6929"/>
    <w:rsid w:val="00F875A6"/>
    <w:rsid w:val="00F90D88"/>
    <w:rsid w:val="00F93E83"/>
    <w:rsid w:val="00F948D3"/>
    <w:rsid w:val="00F94BB1"/>
    <w:rsid w:val="00F95D3F"/>
    <w:rsid w:val="00F9665C"/>
    <w:rsid w:val="00F969DC"/>
    <w:rsid w:val="00F97A1C"/>
    <w:rsid w:val="00FA00D5"/>
    <w:rsid w:val="00FA12A8"/>
    <w:rsid w:val="00FA1ABD"/>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EDE"/>
    <w:rsid w:val="00FC7955"/>
    <w:rsid w:val="00FC7CE2"/>
    <w:rsid w:val="00FD0676"/>
    <w:rsid w:val="00FD1D9A"/>
    <w:rsid w:val="00FD25C5"/>
    <w:rsid w:val="00FD7264"/>
    <w:rsid w:val="00FE0824"/>
    <w:rsid w:val="00FE10A4"/>
    <w:rsid w:val="00FE1F16"/>
    <w:rsid w:val="00FE7FBA"/>
    <w:rsid w:val="00FF2EF0"/>
    <w:rsid w:val="00FF3284"/>
    <w:rsid w:val="00FF4348"/>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DEA"/>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42CA-6B82-4866-9159-652CD06F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3939</Words>
  <Characters>22454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55</cp:revision>
  <cp:lastPrinted>2016-02-18T20:26:00Z</cp:lastPrinted>
  <dcterms:created xsi:type="dcterms:W3CDTF">2016-01-13T16:57:00Z</dcterms:created>
  <dcterms:modified xsi:type="dcterms:W3CDTF">2016-04-07T17:54:00Z</dcterms:modified>
</cp:coreProperties>
</file>