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41919F3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DE5498">
        <w:rPr>
          <w:rFonts w:ascii="Trebuchet MS" w:eastAsia="Times New Roman" w:hAnsi="Trebuchet MS" w:cs="Arial"/>
          <w:sz w:val="22"/>
          <w:szCs w:val="22"/>
        </w:rPr>
        <w:t>May 12, 2016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17F534C7" w:rsidR="0024537E" w:rsidRDefault="00EA3CE6" w:rsidP="00DE5498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DE5498" w:rsidRPr="00DE5498">
        <w:rPr>
          <w:rFonts w:ascii="Trebuchet MS" w:eastAsia="Times New Roman" w:hAnsi="Trebuchet MS" w:cs="Arial"/>
          <w:sz w:val="22"/>
          <w:szCs w:val="22"/>
        </w:rPr>
        <w:t>Revision of</w:t>
      </w:r>
      <w:r w:rsidR="00DE5498">
        <w:rPr>
          <w:rFonts w:ascii="Trebuchet MS" w:eastAsia="Times New Roman" w:hAnsi="Trebuchet MS" w:cs="Arial"/>
          <w:sz w:val="22"/>
          <w:szCs w:val="22"/>
        </w:rPr>
        <w:t xml:space="preserve"> Sections 202, 627 a</w:t>
      </w:r>
      <w:r w:rsidR="00DE5498" w:rsidRPr="00DE5498">
        <w:rPr>
          <w:rFonts w:ascii="Trebuchet MS" w:eastAsia="Times New Roman" w:hAnsi="Trebuchet MS" w:cs="Arial"/>
          <w:sz w:val="22"/>
          <w:szCs w:val="22"/>
        </w:rPr>
        <w:t>nd 708</w:t>
      </w:r>
      <w:r w:rsidR="00DE5498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DE5498" w:rsidRPr="00DE5498">
        <w:rPr>
          <w:rFonts w:ascii="Trebuchet MS" w:eastAsia="Times New Roman" w:hAnsi="Trebuchet MS" w:cs="Arial"/>
          <w:sz w:val="22"/>
          <w:szCs w:val="22"/>
        </w:rPr>
        <w:t>Pavement Marking Paint</w:t>
      </w:r>
    </w:p>
    <w:p w14:paraId="498F0AF7" w14:textId="4FED3F1D" w:rsidR="0024537E" w:rsidRPr="002D6B33" w:rsidRDefault="0024537E" w:rsidP="00DE5498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DE5498" w:rsidRPr="00DE5498">
        <w:rPr>
          <w:color w:val="auto"/>
          <w:sz w:val="22"/>
          <w:szCs w:val="22"/>
        </w:rPr>
        <w:t>Revision of Sections 202, 627 and 708 Pavement Marking Paint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E10E06">
        <w:rPr>
          <w:color w:val="auto"/>
          <w:sz w:val="22"/>
          <w:szCs w:val="22"/>
        </w:rPr>
        <w:t>3</w:t>
      </w:r>
      <w:r w:rsidR="00DE5498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title</w:t>
      </w:r>
      <w:r w:rsidR="00DE5498">
        <w:rPr>
          <w:color w:val="auto"/>
          <w:sz w:val="22"/>
          <w:szCs w:val="22"/>
        </w:rPr>
        <w:t xml:space="preserve">, </w:t>
      </w:r>
      <w:r w:rsidR="00DE5498" w:rsidRPr="00DE5498">
        <w:rPr>
          <w:color w:val="auto"/>
          <w:sz w:val="22"/>
          <w:szCs w:val="22"/>
        </w:rPr>
        <w:t xml:space="preserve">Revision </w:t>
      </w:r>
      <w:r w:rsidR="00DE5498">
        <w:rPr>
          <w:color w:val="auto"/>
          <w:sz w:val="22"/>
          <w:szCs w:val="22"/>
        </w:rPr>
        <w:t>of</w:t>
      </w:r>
      <w:r w:rsidR="00DE5498" w:rsidRPr="00DE5498">
        <w:rPr>
          <w:color w:val="auto"/>
          <w:sz w:val="22"/>
          <w:szCs w:val="22"/>
        </w:rPr>
        <w:t xml:space="preserve"> Sections 627 </w:t>
      </w:r>
      <w:r w:rsidR="00DE5498">
        <w:rPr>
          <w:color w:val="auto"/>
          <w:sz w:val="22"/>
          <w:szCs w:val="22"/>
        </w:rPr>
        <w:t>and</w:t>
      </w:r>
      <w:r w:rsidR="00DE5498" w:rsidRPr="00DE5498">
        <w:rPr>
          <w:color w:val="auto"/>
          <w:sz w:val="22"/>
          <w:szCs w:val="22"/>
        </w:rPr>
        <w:t xml:space="preserve"> 708</w:t>
      </w:r>
      <w:r w:rsidR="00DE5498">
        <w:rPr>
          <w:color w:val="auto"/>
          <w:sz w:val="22"/>
          <w:szCs w:val="22"/>
        </w:rPr>
        <w:t xml:space="preserve"> </w:t>
      </w:r>
      <w:r w:rsidR="00DE5498" w:rsidRPr="00DE5498">
        <w:rPr>
          <w:color w:val="auto"/>
          <w:sz w:val="22"/>
          <w:szCs w:val="22"/>
        </w:rPr>
        <w:t>Pavement Marking Paint</w:t>
      </w:r>
      <w:r w:rsidR="00DE5498">
        <w:rPr>
          <w:color w:val="auto"/>
          <w:sz w:val="22"/>
          <w:szCs w:val="22"/>
        </w:rPr>
        <w:t xml:space="preserve"> </w:t>
      </w:r>
      <w:r w:rsidR="000A2120">
        <w:rPr>
          <w:color w:val="auto"/>
          <w:sz w:val="22"/>
          <w:szCs w:val="22"/>
        </w:rPr>
        <w:t xml:space="preserve">dated </w:t>
      </w:r>
      <w:r w:rsidR="00DE5498">
        <w:rPr>
          <w:color w:val="auto"/>
          <w:sz w:val="22"/>
          <w:szCs w:val="22"/>
        </w:rPr>
        <w:t>January 31, 2013.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71598D0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DE5498" w:rsidRPr="00DE5498">
        <w:rPr>
          <w:color w:val="auto"/>
          <w:sz w:val="22"/>
          <w:szCs w:val="22"/>
        </w:rPr>
        <w:t>pavement marking paint, except for chip seal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DE5498">
        <w:rPr>
          <w:color w:val="auto"/>
          <w:sz w:val="22"/>
          <w:szCs w:val="22"/>
        </w:rPr>
        <w:t>June 9,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0B7286FF" w:rsidR="00BD60DA" w:rsidRPr="002D6B33" w:rsidRDefault="0086424A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>
        <w:rPr>
          <w:rFonts w:ascii="Trebuchet MS" w:hAnsi="Trebuchet MS"/>
          <w:sz w:val="22"/>
          <w:szCs w:val="22"/>
        </w:rPr>
        <w:t xml:space="preserve"> </w:t>
      </w:r>
      <w:r w:rsidR="00DE5498">
        <w:rPr>
          <w:rFonts w:ascii="Trebuchet MS" w:hAnsi="Trebuchet MS"/>
          <w:sz w:val="22"/>
          <w:szCs w:val="22"/>
        </w:rPr>
        <w:t>defines the requirements for removing temporary pavement marking from both the final alignment and transitions.  It removes sandblasting as a method for removing pavement marking, and also removes waterborne paint as an option for pavement marking paint.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54EE1BCC" w:rsidR="00E34B89" w:rsidRPr="00A654C8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  <w:r w:rsidR="00A654C8">
        <w:rPr>
          <w:rFonts w:ascii="Trebuchet MS" w:eastAsia="Times New Roman" w:hAnsi="Trebuchet MS" w:cs="Arial"/>
          <w:sz w:val="22"/>
          <w:szCs w:val="22"/>
        </w:rPr>
        <w:fldChar w:fldCharType="begin"/>
      </w:r>
      <w:r w:rsidR="00A654C8">
        <w:rPr>
          <w:rFonts w:ascii="Trebuchet MS" w:eastAsia="Times New Roman" w:hAnsi="Trebuchet MS" w:cs="Arial"/>
          <w:sz w:val="22"/>
          <w:szCs w:val="22"/>
        </w:rPr>
        <w:instrText xml:space="preserve"> HYPERLINK "https://www.codot.gov/business/designsupport/2011-construction-specifications/2011-Specs" </w:instrText>
      </w:r>
      <w:r w:rsidR="00A654C8">
        <w:rPr>
          <w:rFonts w:ascii="Trebuchet MS" w:eastAsia="Times New Roman" w:hAnsi="Trebuchet MS" w:cs="Arial"/>
          <w:sz w:val="22"/>
          <w:szCs w:val="22"/>
        </w:rPr>
      </w:r>
      <w:r w:rsidR="00A654C8">
        <w:rPr>
          <w:rFonts w:ascii="Trebuchet MS" w:eastAsia="Times New Roman" w:hAnsi="Trebuchet MS" w:cs="Arial"/>
          <w:sz w:val="22"/>
          <w:szCs w:val="22"/>
        </w:rPr>
        <w:fldChar w:fldCharType="separate"/>
      </w:r>
    </w:p>
    <w:p w14:paraId="64A9833C" w14:textId="3C21C992" w:rsidR="00FD5C37" w:rsidRPr="00A654C8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r w:rsidRPr="00A654C8">
        <w:rPr>
          <w:rStyle w:val="Hyperlink"/>
          <w:rFonts w:ascii="Trebuchet MS" w:eastAsia="Times New Roman" w:hAnsi="Trebuchet MS" w:cs="Arial"/>
          <w:sz w:val="22"/>
          <w:szCs w:val="22"/>
        </w:rPr>
        <w:t xml:space="preserve"> </w:t>
      </w:r>
      <w:r w:rsidR="00A654C8" w:rsidRPr="00A654C8">
        <w:rPr>
          <w:rStyle w:val="Hyperlink"/>
          <w:rFonts w:ascii="Trebuchet MS" w:eastAsia="Times New Roman" w:hAnsi="Trebuchet MS" w:cs="Arial"/>
          <w:sz w:val="22"/>
          <w:szCs w:val="22"/>
        </w:rPr>
        <w:t>https://www.codot.gov/business/designsupport/2011-construction-specifications/2011-Specs</w:t>
      </w:r>
    </w:p>
    <w:p w14:paraId="480A0F7A" w14:textId="581DC61C" w:rsidR="00FD5C37" w:rsidRPr="002D6B33" w:rsidRDefault="00A654C8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fldChar w:fldCharType="end"/>
      </w:r>
      <w:bookmarkStart w:id="0" w:name="_GoBack"/>
      <w:bookmarkEnd w:id="0"/>
      <w:r w:rsidR="00FD5C37"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6613" w14:textId="77777777" w:rsidR="00ED135A" w:rsidRDefault="00ED135A" w:rsidP="00370CDA">
      <w:r>
        <w:separator/>
      </w:r>
    </w:p>
  </w:endnote>
  <w:endnote w:type="continuationSeparator" w:id="0">
    <w:p w14:paraId="59303A58" w14:textId="77777777" w:rsidR="00ED135A" w:rsidRDefault="00ED135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4387" w14:textId="77777777" w:rsidR="00ED135A" w:rsidRDefault="00ED135A" w:rsidP="00370CDA">
      <w:r>
        <w:separator/>
      </w:r>
    </w:p>
  </w:footnote>
  <w:footnote w:type="continuationSeparator" w:id="0">
    <w:p w14:paraId="50F076CF" w14:textId="77777777" w:rsidR="00ED135A" w:rsidRDefault="00ED135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387732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7DA8"/>
    <w:rsid w:val="009C1544"/>
    <w:rsid w:val="009F63B1"/>
    <w:rsid w:val="00A654C8"/>
    <w:rsid w:val="00B101C3"/>
    <w:rsid w:val="00B340AC"/>
    <w:rsid w:val="00BB4F18"/>
    <w:rsid w:val="00BB5A81"/>
    <w:rsid w:val="00BD60DA"/>
    <w:rsid w:val="00BF0EE0"/>
    <w:rsid w:val="00C06901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DE5498"/>
    <w:rsid w:val="00E10E06"/>
    <w:rsid w:val="00E34B89"/>
    <w:rsid w:val="00E77696"/>
    <w:rsid w:val="00EA3CE6"/>
    <w:rsid w:val="00EB6486"/>
    <w:rsid w:val="00ED135A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A65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2016-05-05T21:23:00Z</dcterms:created>
  <dcterms:modified xsi:type="dcterms:W3CDTF">2016-06-03T17:10:00Z</dcterms:modified>
</cp:coreProperties>
</file>