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06AD6">
        <w:rPr>
          <w:rFonts w:ascii="Arial" w:hAnsi="Arial"/>
          <w:color w:val="FF0000"/>
        </w:rPr>
        <w:t>1</w:t>
      </w:r>
      <w:r w:rsidR="00C11FEF">
        <w:rPr>
          <w:rFonts w:ascii="Arial" w:hAnsi="Arial"/>
          <w:color w:val="FF0000"/>
        </w:rPr>
        <w:t>1</w:t>
      </w:r>
      <w:r w:rsidR="00FA12A8">
        <w:rPr>
          <w:rFonts w:ascii="Arial" w:hAnsi="Arial"/>
          <w:color w:val="FF0000"/>
        </w:rPr>
        <w:t>-</w:t>
      </w:r>
      <w:r w:rsidR="00B67CC7">
        <w:rPr>
          <w:rFonts w:ascii="Arial" w:hAnsi="Arial"/>
          <w:color w:val="FF0000"/>
        </w:rPr>
        <w:t>1</w:t>
      </w:r>
      <w:r w:rsidR="007122BC">
        <w:rPr>
          <w:rFonts w:ascii="Arial" w:hAnsi="Arial"/>
          <w:color w:val="FF0000"/>
        </w:rPr>
        <w:t>1</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580F43">
        <w:rPr>
          <w:sz w:val="22"/>
        </w:rPr>
        <w:t>April 30</w:t>
      </w:r>
      <w:r w:rsidR="00C73F7D">
        <w:rPr>
          <w:sz w:val="22"/>
        </w:rPr>
        <w:t>, 201</w:t>
      </w:r>
      <w:r w:rsidR="00580F43">
        <w:rPr>
          <w:sz w:val="22"/>
        </w:rPr>
        <w:t>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7122BC">
        <w:rPr>
          <w:sz w:val="22"/>
        </w:rPr>
        <w:t>Nov. 11</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6E04BF" w:rsidP="00BA62C4">
      <w:pPr>
        <w:shd w:val="clear" w:color="auto" w:fill="EEECE1" w:themeFill="background2"/>
        <w:tabs>
          <w:tab w:val="left" w:pos="360"/>
          <w:tab w:val="left" w:pos="7920"/>
          <w:tab w:val="right" w:pos="9900"/>
        </w:tabs>
        <w:rPr>
          <w:sz w:val="22"/>
        </w:rPr>
      </w:pPr>
      <w:r>
        <w:rPr>
          <w:sz w:val="22"/>
        </w:rPr>
        <w:t xml:space="preserve">MOD </w:t>
      </w:r>
      <w:proofErr w:type="gramStart"/>
      <w:r>
        <w:rPr>
          <w:sz w:val="22"/>
        </w:rPr>
        <w:t>1</w:t>
      </w:r>
      <w:proofErr w:type="gramEnd"/>
      <w:r>
        <w:rPr>
          <w:sz w:val="22"/>
        </w:rPr>
        <w:t xml:space="preserve">, </w:t>
      </w:r>
      <w:bookmarkStart w:id="0" w:name="_GoBack"/>
      <w:bookmarkEnd w:id="0"/>
      <w:r w:rsidR="00BA62C4"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4F" w:rsidRDefault="00174C4F">
      <w:r>
        <w:separator/>
      </w:r>
    </w:p>
  </w:endnote>
  <w:endnote w:type="continuationSeparator" w:id="0">
    <w:p w:rsidR="00174C4F" w:rsidRDefault="0017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E04BF">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4F" w:rsidRDefault="00174C4F">
      <w:r>
        <w:separator/>
      </w:r>
    </w:p>
  </w:footnote>
  <w:footnote w:type="continuationSeparator" w:id="0">
    <w:p w:rsidR="00174C4F" w:rsidRDefault="00174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6272-3D7B-4AC4-ABB0-323226E3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120</cp:revision>
  <cp:lastPrinted>2016-02-18T20:26:00Z</cp:lastPrinted>
  <dcterms:created xsi:type="dcterms:W3CDTF">2016-01-13T16:57:00Z</dcterms:created>
  <dcterms:modified xsi:type="dcterms:W3CDTF">2016-11-14T16:27:00Z</dcterms:modified>
</cp:coreProperties>
</file>