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075A8" w14:textId="56560C9B"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20, 2017</w:t>
      </w:r>
    </w:p>
    <w:p w14:paraId="2DFE972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AF9AD4E"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777A3FA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LIQUIDATED DAMAGES</w:t>
      </w:r>
    </w:p>
    <w:p w14:paraId="27E90452"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157940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7D6D35F"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7779C88"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BCF004"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507E6D"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C0F058C"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549F8E"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479E04D"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9EE263"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45F9F8C" w14:textId="77777777" w:rsidR="001A0265" w:rsidRDefault="001A0265" w:rsidP="001A026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3787E74" w14:textId="77777777"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in all projects. </w:t>
      </w:r>
    </w:p>
    <w:p w14:paraId="4097E249" w14:textId="77777777"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1DD0E290" w14:textId="16AB1251" w:rsidR="001A0265" w:rsidRDefault="001A0265" w:rsidP="001A026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Designers may adjust the Liquidated Damages for projects having contract amounts over $15 million</w:t>
      </w:r>
      <w:r w:rsidRPr="00363C74">
        <w:rPr>
          <w:sz w:val="28"/>
          <w:szCs w:val="28"/>
        </w:rPr>
        <w:t xml:space="preserve">, with consultation and approval </w:t>
      </w:r>
      <w:r>
        <w:rPr>
          <w:sz w:val="28"/>
          <w:szCs w:val="28"/>
        </w:rPr>
        <w:t>from</w:t>
      </w:r>
      <w:r w:rsidRPr="00363C74">
        <w:rPr>
          <w:sz w:val="28"/>
          <w:szCs w:val="28"/>
        </w:rPr>
        <w:t xml:space="preserve"> the Contracts and Market Analysis Branch Manager.</w:t>
      </w:r>
    </w:p>
    <w:p w14:paraId="61188FE2" w14:textId="77777777" w:rsidR="001A0265" w:rsidRDefault="001A0265">
      <w:pPr>
        <w:rPr>
          <w:rFonts w:ascii="Arial" w:hAnsi="Arial" w:cs="Arial"/>
          <w:sz w:val="22"/>
        </w:rPr>
      </w:pPr>
      <w:r>
        <w:rPr>
          <w:rFonts w:ascii="Arial" w:hAnsi="Arial" w:cs="Arial"/>
          <w:sz w:val="22"/>
        </w:rPr>
        <w:br w:type="page"/>
      </w:r>
    </w:p>
    <w:p w14:paraId="4C579AEE" w14:textId="12AF107F" w:rsidR="003F33C2" w:rsidRPr="00A140AC" w:rsidRDefault="00A140AC" w:rsidP="00A140AC">
      <w:pPr>
        <w:jc w:val="right"/>
        <w:rPr>
          <w:rFonts w:ascii="Arial" w:hAnsi="Arial" w:cs="Arial"/>
          <w:sz w:val="22"/>
        </w:rPr>
      </w:pPr>
      <w:r>
        <w:rPr>
          <w:rFonts w:ascii="Arial" w:hAnsi="Arial" w:cs="Arial"/>
          <w:sz w:val="22"/>
        </w:rPr>
        <w:lastRenderedPageBreak/>
        <w:t>July 20, 2017</w:t>
      </w:r>
    </w:p>
    <w:p w14:paraId="589C1A0E" w14:textId="7EB4B920" w:rsidR="00835CD4" w:rsidRDefault="006B54DB" w:rsidP="006B54DB">
      <w:pPr>
        <w:jc w:val="center"/>
        <w:rPr>
          <w:rFonts w:ascii="Arial" w:hAnsi="Arial" w:cs="Arial"/>
        </w:rPr>
      </w:pPr>
      <w:r>
        <w:rPr>
          <w:rFonts w:ascii="Arial" w:hAnsi="Arial" w:cs="Arial"/>
        </w:rPr>
        <w:t>REVISION OF SECTION 108</w:t>
      </w:r>
      <w:r>
        <w:rPr>
          <w:rFonts w:ascii="Arial" w:hAnsi="Arial" w:cs="Arial"/>
        </w:rPr>
        <w:br/>
        <w:t>LIQUIDATED DAMAGES</w:t>
      </w:r>
    </w:p>
    <w:p w14:paraId="337DDDDA" w14:textId="77777777" w:rsidR="006B54DB" w:rsidRDefault="006B54DB" w:rsidP="006B54DB">
      <w:pPr>
        <w:jc w:val="center"/>
        <w:rPr>
          <w:rFonts w:ascii="Arial" w:hAnsi="Arial" w:cs="Arial"/>
        </w:rPr>
      </w:pPr>
    </w:p>
    <w:p w14:paraId="762F0505" w14:textId="34F60885" w:rsidR="006B54DB" w:rsidRDefault="00F4534C" w:rsidP="006B54DB">
      <w:pPr>
        <w:rPr>
          <w:rFonts w:ascii="Arial" w:hAnsi="Arial" w:cs="Arial"/>
        </w:rPr>
      </w:pPr>
      <w:bookmarkStart w:id="0" w:name="_GoBack"/>
      <w:bookmarkEnd w:id="0"/>
      <w:r w:rsidRPr="006B54DB">
        <w:rPr>
          <w:rFonts w:ascii="Arial" w:hAnsi="Arial" w:cs="Arial"/>
        </w:rPr>
        <w:t>Section 108</w:t>
      </w:r>
      <w:r w:rsidR="004C1E80">
        <w:rPr>
          <w:rFonts w:ascii="Arial" w:hAnsi="Arial" w:cs="Arial"/>
        </w:rPr>
        <w:t xml:space="preserve"> </w:t>
      </w:r>
      <w:r w:rsidR="006B54DB" w:rsidRPr="006B54DB">
        <w:rPr>
          <w:rFonts w:ascii="Arial" w:hAnsi="Arial" w:cs="Arial"/>
        </w:rPr>
        <w:t>of the Standard Specifications is hereby revised for this project as follows:</w:t>
      </w:r>
    </w:p>
    <w:p w14:paraId="67714B64" w14:textId="77777777" w:rsidR="006B54DB" w:rsidRDefault="006B54DB" w:rsidP="006B54DB">
      <w:pPr>
        <w:rPr>
          <w:rFonts w:ascii="Arial" w:hAnsi="Arial" w:cs="Arial"/>
        </w:rPr>
      </w:pPr>
    </w:p>
    <w:p w14:paraId="006622CF" w14:textId="45ABBD22" w:rsidR="006B54DB" w:rsidRDefault="006B54DB" w:rsidP="006B54DB">
      <w:pPr>
        <w:rPr>
          <w:rFonts w:ascii="Arial" w:hAnsi="Arial" w:cs="Arial"/>
        </w:rPr>
      </w:pPr>
      <w:r w:rsidRPr="006B54DB">
        <w:rPr>
          <w:rFonts w:ascii="Arial" w:hAnsi="Arial" w:cs="Arial"/>
        </w:rPr>
        <w:t>In subsection 108.09 delete the schedule of liquidated damages and replace with the following:</w:t>
      </w:r>
    </w:p>
    <w:p w14:paraId="6883A501" w14:textId="77777777" w:rsidR="006B54DB" w:rsidRDefault="006B54DB" w:rsidP="006B54DB">
      <w:pPr>
        <w:rPr>
          <w:rFonts w:ascii="Arial" w:hAnsi="Arial" w:cs="Arial"/>
        </w:rPr>
      </w:pPr>
    </w:p>
    <w:tbl>
      <w:tblPr>
        <w:tblW w:w="9270" w:type="dxa"/>
        <w:tblInd w:w="468"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340"/>
        <w:gridCol w:w="2430"/>
        <w:gridCol w:w="4500"/>
      </w:tblGrid>
      <w:tr w:rsidR="006B54DB" w:rsidRPr="006B54DB" w14:paraId="45C9FC4C" w14:textId="77777777" w:rsidTr="006B54DB">
        <w:tc>
          <w:tcPr>
            <w:tcW w:w="4770" w:type="dxa"/>
            <w:gridSpan w:val="2"/>
            <w:tcBorders>
              <w:top w:val="double" w:sz="4" w:space="0" w:color="auto"/>
              <w:left w:val="double" w:sz="4" w:space="0" w:color="auto"/>
              <w:right w:val="single" w:sz="12" w:space="0" w:color="auto"/>
            </w:tcBorders>
          </w:tcPr>
          <w:p w14:paraId="5085A8FD" w14:textId="77777777"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Original Contract Amount ($)</w:t>
            </w:r>
          </w:p>
        </w:tc>
        <w:tc>
          <w:tcPr>
            <w:tcW w:w="4500" w:type="dxa"/>
            <w:tcBorders>
              <w:top w:val="double" w:sz="4" w:space="0" w:color="auto"/>
              <w:left w:val="single" w:sz="12" w:space="0" w:color="auto"/>
              <w:right w:val="double" w:sz="4" w:space="0" w:color="auto"/>
            </w:tcBorders>
          </w:tcPr>
          <w:p w14:paraId="32B0DAE3" w14:textId="77777777"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Liquidated Damages per Calendar Day ($)</w:t>
            </w:r>
          </w:p>
        </w:tc>
      </w:tr>
      <w:tr w:rsidR="006B54DB" w:rsidRPr="006B54DB" w14:paraId="7DE020AB" w14:textId="77777777" w:rsidTr="006B54DB">
        <w:tc>
          <w:tcPr>
            <w:tcW w:w="2340" w:type="dxa"/>
            <w:tcBorders>
              <w:top w:val="single" w:sz="6" w:space="0" w:color="auto"/>
              <w:left w:val="double" w:sz="4" w:space="0" w:color="auto"/>
              <w:bottom w:val="single" w:sz="12" w:space="0" w:color="auto"/>
              <w:right w:val="single" w:sz="6" w:space="0" w:color="auto"/>
            </w:tcBorders>
          </w:tcPr>
          <w:p w14:paraId="70E0D489"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From More Than</w:t>
            </w:r>
          </w:p>
        </w:tc>
        <w:tc>
          <w:tcPr>
            <w:tcW w:w="2430" w:type="dxa"/>
            <w:tcBorders>
              <w:top w:val="single" w:sz="6" w:space="0" w:color="auto"/>
              <w:left w:val="single" w:sz="6" w:space="0" w:color="auto"/>
              <w:bottom w:val="single" w:sz="12" w:space="0" w:color="auto"/>
              <w:right w:val="single" w:sz="12" w:space="0" w:color="auto"/>
            </w:tcBorders>
          </w:tcPr>
          <w:p w14:paraId="7C467F4E"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To And Including</w:t>
            </w:r>
          </w:p>
        </w:tc>
        <w:tc>
          <w:tcPr>
            <w:tcW w:w="4500" w:type="dxa"/>
            <w:tcBorders>
              <w:left w:val="single" w:sz="12" w:space="0" w:color="auto"/>
              <w:bottom w:val="single" w:sz="12" w:space="0" w:color="auto"/>
              <w:right w:val="double" w:sz="4" w:space="0" w:color="auto"/>
            </w:tcBorders>
          </w:tcPr>
          <w:p w14:paraId="378ED723" w14:textId="77777777" w:rsidR="006B54DB" w:rsidRPr="006B54DB" w:rsidRDefault="006B54DB" w:rsidP="004327CD">
            <w:pPr>
              <w:autoSpaceDE w:val="0"/>
              <w:autoSpaceDN w:val="0"/>
              <w:adjustRightInd w:val="0"/>
              <w:rPr>
                <w:rFonts w:ascii="Arial" w:hAnsi="Arial" w:cs="Arial"/>
                <w:bCs/>
              </w:rPr>
            </w:pPr>
          </w:p>
        </w:tc>
      </w:tr>
      <w:tr w:rsidR="006B54DB" w:rsidRPr="006B54DB" w14:paraId="78155A6B" w14:textId="77777777" w:rsidTr="006B54DB">
        <w:tc>
          <w:tcPr>
            <w:tcW w:w="2340" w:type="dxa"/>
            <w:tcBorders>
              <w:top w:val="single" w:sz="12" w:space="0" w:color="auto"/>
              <w:left w:val="double" w:sz="4" w:space="0" w:color="auto"/>
              <w:bottom w:val="single" w:sz="6" w:space="0" w:color="auto"/>
              <w:right w:val="single" w:sz="6" w:space="0" w:color="auto"/>
            </w:tcBorders>
            <w:shd w:val="clear" w:color="auto" w:fill="BFBFBF" w:themeFill="background1" w:themeFillShade="BF"/>
          </w:tcPr>
          <w:p w14:paraId="1A5240DA"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0</w:t>
            </w:r>
          </w:p>
        </w:tc>
        <w:tc>
          <w:tcPr>
            <w:tcW w:w="243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608EA111" w14:textId="7DABC746"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w:t>
            </w:r>
          </w:p>
        </w:tc>
        <w:tc>
          <w:tcPr>
            <w:tcW w:w="4500" w:type="dxa"/>
            <w:tcBorders>
              <w:top w:val="single" w:sz="12" w:space="0" w:color="auto"/>
              <w:left w:val="single" w:sz="12" w:space="0" w:color="auto"/>
              <w:bottom w:val="single" w:sz="6" w:space="0" w:color="auto"/>
              <w:right w:val="double" w:sz="4" w:space="0" w:color="auto"/>
            </w:tcBorders>
            <w:shd w:val="clear" w:color="auto" w:fill="BFBFBF" w:themeFill="background1" w:themeFillShade="BF"/>
          </w:tcPr>
          <w:p w14:paraId="5AC5FA04" w14:textId="4208B261"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900</w:t>
            </w:r>
          </w:p>
        </w:tc>
      </w:tr>
      <w:tr w:rsidR="006B54DB" w:rsidRPr="006B54DB" w14:paraId="758C7251" w14:textId="77777777" w:rsidTr="006B54DB">
        <w:tc>
          <w:tcPr>
            <w:tcW w:w="2340" w:type="dxa"/>
            <w:tcBorders>
              <w:top w:val="single" w:sz="6" w:space="0" w:color="auto"/>
              <w:left w:val="double" w:sz="4" w:space="0" w:color="auto"/>
              <w:bottom w:val="single" w:sz="6" w:space="0" w:color="auto"/>
              <w:right w:val="single" w:sz="6" w:space="0" w:color="auto"/>
            </w:tcBorders>
          </w:tcPr>
          <w:p w14:paraId="0C95A2C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w:t>
            </w:r>
          </w:p>
        </w:tc>
        <w:tc>
          <w:tcPr>
            <w:tcW w:w="2430" w:type="dxa"/>
            <w:tcBorders>
              <w:top w:val="single" w:sz="6" w:space="0" w:color="auto"/>
              <w:left w:val="single" w:sz="6" w:space="0" w:color="auto"/>
              <w:bottom w:val="single" w:sz="6" w:space="0" w:color="auto"/>
              <w:right w:val="single" w:sz="12" w:space="0" w:color="auto"/>
            </w:tcBorders>
          </w:tcPr>
          <w:p w14:paraId="63933BE8"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1,000,000</w:t>
            </w:r>
          </w:p>
        </w:tc>
        <w:tc>
          <w:tcPr>
            <w:tcW w:w="4500" w:type="dxa"/>
            <w:tcBorders>
              <w:top w:val="single" w:sz="6" w:space="0" w:color="auto"/>
              <w:left w:val="single" w:sz="12" w:space="0" w:color="auto"/>
              <w:bottom w:val="single" w:sz="6" w:space="0" w:color="auto"/>
              <w:right w:val="double" w:sz="4" w:space="0" w:color="auto"/>
            </w:tcBorders>
          </w:tcPr>
          <w:p w14:paraId="226E1E48" w14:textId="7D780CC4"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1,500</w:t>
            </w:r>
          </w:p>
        </w:tc>
      </w:tr>
      <w:tr w:rsidR="006B54DB" w:rsidRPr="006B54DB" w14:paraId="78F98C0F" w14:textId="77777777" w:rsidTr="006B54DB">
        <w:tc>
          <w:tcPr>
            <w:tcW w:w="2340" w:type="dxa"/>
            <w:tcBorders>
              <w:top w:val="single" w:sz="6" w:space="0" w:color="auto"/>
              <w:left w:val="double" w:sz="4" w:space="0" w:color="auto"/>
              <w:bottom w:val="single" w:sz="6" w:space="0" w:color="auto"/>
              <w:right w:val="single" w:sz="6" w:space="0" w:color="auto"/>
            </w:tcBorders>
            <w:shd w:val="clear" w:color="auto" w:fill="BFBFBF" w:themeFill="background1" w:themeFillShade="BF"/>
          </w:tcPr>
          <w:p w14:paraId="280A762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1,000,000</w:t>
            </w:r>
          </w:p>
        </w:tc>
        <w:tc>
          <w:tcPr>
            <w:tcW w:w="2430"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346473CA"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2,000,000</w:t>
            </w:r>
          </w:p>
        </w:tc>
        <w:tc>
          <w:tcPr>
            <w:tcW w:w="4500" w:type="dxa"/>
            <w:tcBorders>
              <w:top w:val="single" w:sz="6" w:space="0" w:color="auto"/>
              <w:left w:val="single" w:sz="12" w:space="0" w:color="auto"/>
              <w:bottom w:val="single" w:sz="6" w:space="0" w:color="auto"/>
              <w:right w:val="double" w:sz="4" w:space="0" w:color="auto"/>
            </w:tcBorders>
            <w:shd w:val="clear" w:color="auto" w:fill="BFBFBF" w:themeFill="background1" w:themeFillShade="BF"/>
          </w:tcPr>
          <w:p w14:paraId="0CBAE540" w14:textId="018EBA83"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2,200</w:t>
            </w:r>
          </w:p>
        </w:tc>
      </w:tr>
      <w:tr w:rsidR="006B54DB" w:rsidRPr="006B54DB" w14:paraId="2E018DFE" w14:textId="77777777" w:rsidTr="006B54DB">
        <w:tc>
          <w:tcPr>
            <w:tcW w:w="2340" w:type="dxa"/>
            <w:tcBorders>
              <w:top w:val="single" w:sz="6" w:space="0" w:color="auto"/>
              <w:left w:val="double" w:sz="4" w:space="0" w:color="auto"/>
              <w:bottom w:val="single" w:sz="6" w:space="0" w:color="auto"/>
              <w:right w:val="single" w:sz="6" w:space="0" w:color="auto"/>
            </w:tcBorders>
          </w:tcPr>
          <w:p w14:paraId="187F040D" w14:textId="77777777" w:rsidR="006B54DB" w:rsidRPr="006B54DB" w:rsidRDefault="006B54DB" w:rsidP="004327CD">
            <w:pPr>
              <w:autoSpaceDE w:val="0"/>
              <w:autoSpaceDN w:val="0"/>
              <w:adjustRightInd w:val="0"/>
              <w:rPr>
                <w:rFonts w:ascii="Arial" w:hAnsi="Arial" w:cs="Arial"/>
                <w:bCs/>
              </w:rPr>
            </w:pPr>
            <w:r w:rsidRPr="006B54DB">
              <w:rPr>
                <w:rFonts w:ascii="Arial" w:hAnsi="Arial" w:cs="Arial"/>
                <w:bCs/>
              </w:rPr>
              <w:t>2,000,000</w:t>
            </w:r>
          </w:p>
        </w:tc>
        <w:tc>
          <w:tcPr>
            <w:tcW w:w="2430" w:type="dxa"/>
            <w:tcBorders>
              <w:top w:val="single" w:sz="6" w:space="0" w:color="auto"/>
              <w:left w:val="single" w:sz="6" w:space="0" w:color="auto"/>
              <w:bottom w:val="single" w:sz="6" w:space="0" w:color="auto"/>
              <w:right w:val="single" w:sz="12" w:space="0" w:color="auto"/>
            </w:tcBorders>
          </w:tcPr>
          <w:p w14:paraId="5BCB3013" w14:textId="5B95D814"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5,000,000</w:t>
            </w:r>
          </w:p>
        </w:tc>
        <w:tc>
          <w:tcPr>
            <w:tcW w:w="4500" w:type="dxa"/>
            <w:tcBorders>
              <w:top w:val="single" w:sz="6" w:space="0" w:color="auto"/>
              <w:left w:val="single" w:sz="12" w:space="0" w:color="auto"/>
              <w:bottom w:val="single" w:sz="6" w:space="0" w:color="auto"/>
              <w:right w:val="double" w:sz="4" w:space="0" w:color="auto"/>
            </w:tcBorders>
          </w:tcPr>
          <w:p w14:paraId="1D004270" w14:textId="77777777"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4,100</w:t>
            </w:r>
          </w:p>
        </w:tc>
      </w:tr>
      <w:tr w:rsidR="006B54DB" w:rsidRPr="006B54DB" w14:paraId="4C1C3454" w14:textId="77777777" w:rsidTr="006B54DB">
        <w:tc>
          <w:tcPr>
            <w:tcW w:w="2340" w:type="dxa"/>
            <w:tcBorders>
              <w:top w:val="single" w:sz="6" w:space="0" w:color="auto"/>
              <w:left w:val="double" w:sz="4" w:space="0" w:color="auto"/>
              <w:right w:val="single" w:sz="6" w:space="0" w:color="auto"/>
            </w:tcBorders>
            <w:shd w:val="clear" w:color="auto" w:fill="BFBFBF" w:themeFill="background1" w:themeFillShade="BF"/>
          </w:tcPr>
          <w:p w14:paraId="0CB111CF" w14:textId="1E8F62B7" w:rsidR="006B54DB" w:rsidRPr="006B54DB" w:rsidRDefault="006B54DB" w:rsidP="004327CD">
            <w:pPr>
              <w:autoSpaceDE w:val="0"/>
              <w:autoSpaceDN w:val="0"/>
              <w:adjustRightInd w:val="0"/>
              <w:rPr>
                <w:rFonts w:ascii="Arial" w:hAnsi="Arial" w:cs="Arial"/>
                <w:bCs/>
              </w:rPr>
            </w:pPr>
            <w:r w:rsidRPr="006B54DB">
              <w:rPr>
                <w:rFonts w:ascii="Arial" w:hAnsi="Arial" w:cs="Arial"/>
                <w:bCs/>
              </w:rPr>
              <w:t>5,000,000</w:t>
            </w:r>
          </w:p>
        </w:tc>
        <w:tc>
          <w:tcPr>
            <w:tcW w:w="2430" w:type="dxa"/>
            <w:tcBorders>
              <w:top w:val="single" w:sz="6" w:space="0" w:color="auto"/>
              <w:left w:val="single" w:sz="6" w:space="0" w:color="auto"/>
              <w:right w:val="single" w:sz="12" w:space="0" w:color="auto"/>
            </w:tcBorders>
            <w:shd w:val="clear" w:color="auto" w:fill="BFBFBF" w:themeFill="background1" w:themeFillShade="BF"/>
          </w:tcPr>
          <w:p w14:paraId="0004DF16" w14:textId="7DCAD78D" w:rsidR="006B54DB" w:rsidRPr="006B54DB" w:rsidRDefault="006B54DB" w:rsidP="004327CD">
            <w:pPr>
              <w:autoSpaceDE w:val="0"/>
              <w:autoSpaceDN w:val="0"/>
              <w:adjustRightInd w:val="0"/>
              <w:rPr>
                <w:rFonts w:ascii="Arial" w:hAnsi="Arial" w:cs="Arial"/>
                <w:bCs/>
              </w:rPr>
            </w:pPr>
            <w:r w:rsidRPr="006B54DB">
              <w:rPr>
                <w:rFonts w:ascii="Arial" w:hAnsi="Arial" w:cs="Arial"/>
                <w:bCs/>
              </w:rPr>
              <w:t>15,000,000</w:t>
            </w:r>
          </w:p>
        </w:tc>
        <w:tc>
          <w:tcPr>
            <w:tcW w:w="4500" w:type="dxa"/>
            <w:tcBorders>
              <w:top w:val="single" w:sz="6" w:space="0" w:color="auto"/>
              <w:left w:val="single" w:sz="12" w:space="0" w:color="auto"/>
              <w:right w:val="double" w:sz="4" w:space="0" w:color="auto"/>
            </w:tcBorders>
            <w:shd w:val="clear" w:color="auto" w:fill="BFBFBF" w:themeFill="background1" w:themeFillShade="BF"/>
          </w:tcPr>
          <w:p w14:paraId="55EEFAE6" w14:textId="69BC2A97"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5,500</w:t>
            </w:r>
          </w:p>
        </w:tc>
      </w:tr>
      <w:tr w:rsidR="006B54DB" w:rsidRPr="006B54DB" w14:paraId="41B5FCB0" w14:textId="77777777" w:rsidTr="006B54DB">
        <w:tc>
          <w:tcPr>
            <w:tcW w:w="2340" w:type="dxa"/>
            <w:tcBorders>
              <w:top w:val="single" w:sz="6" w:space="0" w:color="auto"/>
              <w:left w:val="double" w:sz="4" w:space="0" w:color="auto"/>
              <w:bottom w:val="double" w:sz="4" w:space="0" w:color="auto"/>
              <w:right w:val="single" w:sz="6" w:space="0" w:color="auto"/>
            </w:tcBorders>
          </w:tcPr>
          <w:p w14:paraId="658F99A0" w14:textId="679A43B7" w:rsidR="006B54DB" w:rsidRPr="006B54DB" w:rsidRDefault="006B54DB" w:rsidP="004327CD">
            <w:pPr>
              <w:autoSpaceDE w:val="0"/>
              <w:autoSpaceDN w:val="0"/>
              <w:adjustRightInd w:val="0"/>
              <w:rPr>
                <w:rFonts w:ascii="Arial" w:hAnsi="Arial" w:cs="Arial"/>
                <w:bCs/>
              </w:rPr>
            </w:pPr>
            <w:r w:rsidRPr="006B54DB">
              <w:rPr>
                <w:rFonts w:ascii="Arial" w:hAnsi="Arial" w:cs="Arial"/>
                <w:bCs/>
              </w:rPr>
              <w:t>15,000,000</w:t>
            </w:r>
          </w:p>
        </w:tc>
        <w:tc>
          <w:tcPr>
            <w:tcW w:w="2430" w:type="dxa"/>
            <w:tcBorders>
              <w:top w:val="single" w:sz="6" w:space="0" w:color="auto"/>
              <w:left w:val="single" w:sz="6" w:space="0" w:color="auto"/>
              <w:bottom w:val="double" w:sz="4" w:space="0" w:color="auto"/>
              <w:right w:val="single" w:sz="12" w:space="0" w:color="auto"/>
            </w:tcBorders>
          </w:tcPr>
          <w:p w14:paraId="05EA059B" w14:textId="30A4EB8F" w:rsidR="006B54DB" w:rsidRPr="006B54DB" w:rsidRDefault="006B54DB" w:rsidP="006B54DB">
            <w:pPr>
              <w:autoSpaceDE w:val="0"/>
              <w:autoSpaceDN w:val="0"/>
              <w:adjustRightInd w:val="0"/>
              <w:jc w:val="center"/>
              <w:rPr>
                <w:rFonts w:ascii="Arial" w:hAnsi="Arial" w:cs="Arial"/>
                <w:bCs/>
              </w:rPr>
            </w:pPr>
            <w:r w:rsidRPr="006B54DB">
              <w:rPr>
                <w:rFonts w:ascii="Arial" w:hAnsi="Arial" w:cs="Arial"/>
                <w:bCs/>
              </w:rPr>
              <w:t>-----</w:t>
            </w:r>
          </w:p>
        </w:tc>
        <w:tc>
          <w:tcPr>
            <w:tcW w:w="4500" w:type="dxa"/>
            <w:tcBorders>
              <w:top w:val="single" w:sz="6" w:space="0" w:color="auto"/>
              <w:left w:val="single" w:sz="12" w:space="0" w:color="auto"/>
              <w:bottom w:val="double" w:sz="4" w:space="0" w:color="auto"/>
              <w:right w:val="double" w:sz="4" w:space="0" w:color="auto"/>
            </w:tcBorders>
          </w:tcPr>
          <w:p w14:paraId="707B353B" w14:textId="41ED9C26" w:rsidR="006B54DB" w:rsidRPr="006B54DB" w:rsidRDefault="006B54DB" w:rsidP="004327CD">
            <w:pPr>
              <w:autoSpaceDE w:val="0"/>
              <w:autoSpaceDN w:val="0"/>
              <w:adjustRightInd w:val="0"/>
              <w:jc w:val="center"/>
              <w:rPr>
                <w:rFonts w:ascii="Arial" w:hAnsi="Arial" w:cs="Arial"/>
                <w:bCs/>
              </w:rPr>
            </w:pPr>
            <w:r w:rsidRPr="006B54DB">
              <w:rPr>
                <w:rFonts w:ascii="Arial" w:hAnsi="Arial" w:cs="Arial"/>
                <w:bCs/>
              </w:rPr>
              <w:t>9,900</w:t>
            </w:r>
          </w:p>
        </w:tc>
      </w:tr>
    </w:tbl>
    <w:p w14:paraId="1D5E12FF" w14:textId="77777777" w:rsidR="006B54DB" w:rsidRPr="006B54DB" w:rsidRDefault="006B54DB" w:rsidP="006B54DB">
      <w:pPr>
        <w:rPr>
          <w:rFonts w:ascii="Arial" w:hAnsi="Arial" w:cs="Arial"/>
        </w:rPr>
      </w:pPr>
    </w:p>
    <w:sectPr w:rsidR="006B54DB" w:rsidRPr="006B54DB"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30AB" w14:textId="77777777" w:rsidR="00162D52" w:rsidRDefault="00162D52" w:rsidP="00F878BD">
      <w:r>
        <w:separator/>
      </w:r>
    </w:p>
  </w:endnote>
  <w:endnote w:type="continuationSeparator" w:id="0">
    <w:p w14:paraId="097F5C35" w14:textId="77777777" w:rsidR="00162D52" w:rsidRDefault="00162D5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CDD1" w14:textId="77777777" w:rsidR="00162D52" w:rsidRDefault="00162D52" w:rsidP="00F878BD">
      <w:r>
        <w:separator/>
      </w:r>
    </w:p>
  </w:footnote>
  <w:footnote w:type="continuationSeparator" w:id="0">
    <w:p w14:paraId="10D1DDD2" w14:textId="77777777" w:rsidR="00162D52" w:rsidRDefault="00162D5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D3899"/>
    <w:rsid w:val="000E3C78"/>
    <w:rsid w:val="000E5204"/>
    <w:rsid w:val="0010474A"/>
    <w:rsid w:val="0010525A"/>
    <w:rsid w:val="00162D52"/>
    <w:rsid w:val="001A0265"/>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3F33C2"/>
    <w:rsid w:val="004249F3"/>
    <w:rsid w:val="00441D2F"/>
    <w:rsid w:val="004B09DE"/>
    <w:rsid w:val="004C1E80"/>
    <w:rsid w:val="004D2619"/>
    <w:rsid w:val="004F0EBB"/>
    <w:rsid w:val="004F1849"/>
    <w:rsid w:val="004F79CD"/>
    <w:rsid w:val="005040D7"/>
    <w:rsid w:val="00523E48"/>
    <w:rsid w:val="0056039E"/>
    <w:rsid w:val="00561A34"/>
    <w:rsid w:val="005707C9"/>
    <w:rsid w:val="00572D1D"/>
    <w:rsid w:val="006B1A52"/>
    <w:rsid w:val="006B54DB"/>
    <w:rsid w:val="0070029E"/>
    <w:rsid w:val="00706DF8"/>
    <w:rsid w:val="00710A9C"/>
    <w:rsid w:val="0071231C"/>
    <w:rsid w:val="00726A77"/>
    <w:rsid w:val="007735BF"/>
    <w:rsid w:val="007854AB"/>
    <w:rsid w:val="007B0D39"/>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0AC"/>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7343C"/>
    <w:rsid w:val="00DE7DCD"/>
    <w:rsid w:val="00E0363D"/>
    <w:rsid w:val="00E208F0"/>
    <w:rsid w:val="00E23B4F"/>
    <w:rsid w:val="00E51D69"/>
    <w:rsid w:val="00E5511D"/>
    <w:rsid w:val="00E56C20"/>
    <w:rsid w:val="00E5788C"/>
    <w:rsid w:val="00E647BB"/>
    <w:rsid w:val="00E85CC9"/>
    <w:rsid w:val="00E94FB5"/>
    <w:rsid w:val="00EA5566"/>
    <w:rsid w:val="00EA7A41"/>
    <w:rsid w:val="00EC2A21"/>
    <w:rsid w:val="00ED497E"/>
    <w:rsid w:val="00EF1243"/>
    <w:rsid w:val="00EF208C"/>
    <w:rsid w:val="00F07B65"/>
    <w:rsid w:val="00F214EA"/>
    <w:rsid w:val="00F4534C"/>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DB"/>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3F33C2"/>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2017-07-20T15:34:00Z</dcterms:created>
  <dcterms:modified xsi:type="dcterms:W3CDTF">2017-07-20T15:34:00Z</dcterms:modified>
</cp:coreProperties>
</file>