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>
        <w:rPr>
          <w:rFonts w:ascii="Times New Roman" w:hAnsi="Times New Roman"/>
          <w:sz w:val="22"/>
        </w:rPr>
        <w:t>613lc</w:t>
      </w: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FC2A0D" w:rsidRDefault="00FC2A0D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613</w:t>
      </w:r>
    </w:p>
    <w:p w:rsidR="00FC2A0D" w:rsidRDefault="00FC2A0D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LIGHTING CONDUCTORS</w:t>
      </w: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613 of the Standard Specifications is hereby revised for this project as follows:</w:t>
      </w: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613.02 shall include the following:</w:t>
      </w: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conductors shall be of the size shown below:</w:t>
      </w: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CONDUCTOR</w:t>
      </w: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  <w:u w:val="single"/>
        </w:rPr>
      </w:pPr>
    </w:p>
    <w:p w:rsidR="00FC2A0D" w:rsidRDefault="00FC2A0D">
      <w:pPr>
        <w:widowControl w:val="0"/>
        <w:spacing w:line="240" w:lineRule="atLeas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350 MCM Al. Triplex Suitable for Direct Burial</w:t>
      </w: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FC2A0D" w:rsidRDefault="00FC2A0D">
      <w:pPr>
        <w:widowControl w:val="0"/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Street Lighting Feeder Cable (Direct Burial)</w:t>
      </w:r>
    </w:p>
    <w:p w:rsidR="00FC2A0D" w:rsidRDefault="00FC2A0D">
      <w:pPr>
        <w:widowControl w:val="0"/>
        <w:spacing w:line="240" w:lineRule="atLeast"/>
        <w:rPr>
          <w:rFonts w:ascii="Times New Roman" w:hAnsi="Times New Roman"/>
          <w:b/>
          <w:sz w:val="22"/>
        </w:rPr>
      </w:pPr>
    </w:p>
    <w:p w:rsidR="00FC2A0D" w:rsidRDefault="00FC2A0D">
      <w:pPr>
        <w:widowControl w:val="0"/>
        <w:spacing w:line="240" w:lineRule="atLeas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cable for direct earth burial shall conform to these requirements: shall consist of three conductors of stranded 340 MCM Al. Triplex, High Molecular Weight Polyethylene/High Density Polyethylene (HMWPE/HOPE) insulated cable suitable for 600-volt operation and direct earth burial.  Cable shall conform to the applicable sections of the IPCEA Publication No. S-19-81 (5th Edition).  The insulation shall conform to the requirements of Interim Standard #2 to IPCEA Publication No. S-66-524.</w:t>
      </w:r>
    </w:p>
    <w:p w:rsidR="00FC2A0D" w:rsidRDefault="00FC2A0D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FC2A0D" w:rsidSect="000F32F7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7C3"/>
    <w:rsid w:val="00003205"/>
    <w:rsid w:val="000F32F7"/>
    <w:rsid w:val="001627C3"/>
    <w:rsid w:val="00303AE5"/>
    <w:rsid w:val="004E3946"/>
    <w:rsid w:val="00591A71"/>
    <w:rsid w:val="005B3508"/>
    <w:rsid w:val="00BC1128"/>
    <w:rsid w:val="00D9506A"/>
    <w:rsid w:val="00E768FC"/>
    <w:rsid w:val="00FA1590"/>
    <w:rsid w:val="00FC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F7"/>
    <w:rPr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2F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F32F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F32F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F32F7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F32F7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F32F7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F32F7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F32F7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0F32F7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80C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80C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80C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80C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80C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80C"/>
    <w:rPr>
      <w:rFonts w:asciiTheme="minorHAnsi" w:eastAsiaTheme="minorEastAsia" w:hAnsiTheme="minorHAnsi" w:cstheme="minorBidi"/>
      <w:b/>
      <w:bCs/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80C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80C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80C"/>
    <w:rPr>
      <w:rFonts w:asciiTheme="majorHAnsi" w:eastAsiaTheme="majorEastAsia" w:hAnsiTheme="majorHAnsi" w:cstheme="majorBidi"/>
      <w:noProof/>
    </w:rPr>
  </w:style>
  <w:style w:type="character" w:styleId="CommentReference">
    <w:name w:val="annotation reference"/>
    <w:basedOn w:val="DefaultParagraphFont"/>
    <w:uiPriority w:val="99"/>
    <w:rsid w:val="00BC11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112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1128"/>
    <w:rPr>
      <w:rFonts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C112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C1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112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744</Characters>
  <Application>Microsoft Office Outlook</Application>
  <DocSecurity>0</DocSecurity>
  <Lines>0</Lines>
  <Paragraphs>0</Paragraphs>
  <ScaleCrop>false</ScaleCrop>
  <Company>Staff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Coy</dc:creator>
  <cp:keywords/>
  <dc:description/>
  <cp:lastModifiedBy>Louis Avgeris</cp:lastModifiedBy>
  <cp:revision>4</cp:revision>
  <cp:lastPrinted>1999-06-11T22:54:00Z</cp:lastPrinted>
  <dcterms:created xsi:type="dcterms:W3CDTF">2011-01-19T17:36:00Z</dcterms:created>
  <dcterms:modified xsi:type="dcterms:W3CDTF">2011-01-31T18:04:00Z</dcterms:modified>
</cp:coreProperties>
</file>