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C11" w:rsidRDefault="002C7B8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64" w:lineRule="atLeast"/>
        <w:rPr>
          <w:rFonts w:ascii="Times New Roman" w:hAnsi="Times New Roman"/>
          <w:sz w:val="22"/>
        </w:rPr>
      </w:pPr>
      <w:r w:rsidRPr="00D9506A">
        <w:rPr>
          <w:rFonts w:ascii="Times New Roman" w:hAnsi="Times New Roman"/>
          <w:bCs/>
          <w:sz w:val="22"/>
        </w:rPr>
        <w:t xml:space="preserve">Sample project special: </w:t>
      </w:r>
      <w:r w:rsidR="00DA0C11">
        <w:rPr>
          <w:rFonts w:ascii="Times New Roman" w:hAnsi="Times New Roman"/>
          <w:sz w:val="22"/>
        </w:rPr>
        <w:t>206</w:t>
      </w:r>
      <w:r w:rsidR="00790643">
        <w:rPr>
          <w:rFonts w:ascii="Times New Roman" w:hAnsi="Times New Roman"/>
          <w:sz w:val="22"/>
        </w:rPr>
        <w:t>ffab</w:t>
      </w:r>
    </w:p>
    <w:p w:rsidR="00790643" w:rsidRDefault="00BB57E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64" w:lineRule="atLeast"/>
        <w:rPr>
          <w:rFonts w:ascii="Times New Roman" w:hAnsi="Times New Roman"/>
          <w:sz w:val="22"/>
        </w:rPr>
      </w:pPr>
      <w:r>
        <w:rPr>
          <w:rFonts w:ascii="Times New Roman" w:hAnsi="Times New Roman"/>
          <w:sz w:val="22"/>
        </w:rPr>
        <w:t>02-03-11</w:t>
      </w:r>
    </w:p>
    <w:p w:rsidR="00DA0C11" w:rsidRDefault="00DA0C1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jc w:val="center"/>
        <w:rPr>
          <w:rFonts w:ascii="Times New Roman" w:hAnsi="Times New Roman"/>
          <w:sz w:val="22"/>
        </w:rPr>
      </w:pPr>
      <w:r>
        <w:rPr>
          <w:rFonts w:ascii="Times New Roman" w:hAnsi="Times New Roman"/>
          <w:sz w:val="22"/>
        </w:rPr>
        <w:t>REVISION OF SECTION 206</w:t>
      </w:r>
    </w:p>
    <w:p w:rsidR="00DA0C11" w:rsidRDefault="00DA0C1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64" w:lineRule="atLeast"/>
        <w:jc w:val="center"/>
        <w:rPr>
          <w:rFonts w:ascii="Times New Roman" w:hAnsi="Times New Roman"/>
          <w:sz w:val="22"/>
        </w:rPr>
      </w:pPr>
      <w:r>
        <w:rPr>
          <w:rFonts w:ascii="Times New Roman" w:hAnsi="Times New Roman"/>
          <w:sz w:val="22"/>
        </w:rPr>
        <w:t>FLOWABLE FLY ASH BACKFILL</w:t>
      </w:r>
    </w:p>
    <w:p w:rsidR="00DA0C11" w:rsidRDefault="00DA0C1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64" w:lineRule="atLeast"/>
        <w:jc w:val="both"/>
        <w:rPr>
          <w:rFonts w:ascii="Times New Roman" w:hAnsi="Times New Roman"/>
          <w:sz w:val="22"/>
        </w:rPr>
      </w:pPr>
    </w:p>
    <w:p w:rsidR="00DA0C11" w:rsidRDefault="00DA0C11" w:rsidP="00150B5F">
      <w:pPr>
        <w:widowControl w:val="0"/>
        <w:spacing w:line="264" w:lineRule="atLeast"/>
        <w:jc w:val="both"/>
        <w:rPr>
          <w:rFonts w:ascii="Times New Roman" w:hAnsi="Times New Roman"/>
          <w:sz w:val="22"/>
        </w:rPr>
      </w:pPr>
      <w:r>
        <w:rPr>
          <w:rFonts w:ascii="Times New Roman" w:hAnsi="Times New Roman"/>
          <w:sz w:val="22"/>
        </w:rPr>
        <w:t>Section 206 of the Standard Specifications is hereby revised for this project as follows:</w:t>
      </w:r>
    </w:p>
    <w:p w:rsidR="00DA0C11" w:rsidRDefault="00DA0C11" w:rsidP="00150B5F">
      <w:pPr>
        <w:widowControl w:val="0"/>
        <w:spacing w:line="264" w:lineRule="atLeast"/>
        <w:jc w:val="both"/>
        <w:rPr>
          <w:rFonts w:ascii="Times New Roman" w:hAnsi="Times New Roman"/>
          <w:sz w:val="22"/>
        </w:rPr>
      </w:pPr>
    </w:p>
    <w:p w:rsidR="00DA0C11" w:rsidRDefault="00DA0C11" w:rsidP="00150B5F">
      <w:pPr>
        <w:widowControl w:val="0"/>
        <w:spacing w:line="264" w:lineRule="atLeast"/>
        <w:jc w:val="both"/>
        <w:rPr>
          <w:rFonts w:ascii="Times New Roman" w:hAnsi="Times New Roman"/>
          <w:sz w:val="22"/>
        </w:rPr>
      </w:pPr>
      <w:r>
        <w:rPr>
          <w:rFonts w:ascii="Times New Roman" w:hAnsi="Times New Roman"/>
          <w:sz w:val="22"/>
        </w:rPr>
        <w:t>Subsection 206.02(a) shall include the following:</w:t>
      </w:r>
    </w:p>
    <w:p w:rsidR="00DA0C11" w:rsidRDefault="00DA0C11" w:rsidP="00150B5F">
      <w:pPr>
        <w:widowControl w:val="0"/>
        <w:spacing w:line="264" w:lineRule="atLeast"/>
        <w:jc w:val="both"/>
        <w:rPr>
          <w:rFonts w:ascii="Times New Roman" w:hAnsi="Times New Roman"/>
          <w:sz w:val="22"/>
        </w:rPr>
      </w:pPr>
    </w:p>
    <w:p w:rsidR="00DA0C11" w:rsidRDefault="00DA0C11" w:rsidP="00150B5F">
      <w:pPr>
        <w:widowControl w:val="0"/>
        <w:spacing w:line="264" w:lineRule="atLeast"/>
        <w:jc w:val="both"/>
        <w:rPr>
          <w:rFonts w:ascii="Times New Roman" w:hAnsi="Times New Roman"/>
          <w:sz w:val="22"/>
        </w:rPr>
      </w:pPr>
      <w:r>
        <w:rPr>
          <w:rFonts w:ascii="Times New Roman" w:hAnsi="Times New Roman"/>
          <w:sz w:val="22"/>
        </w:rPr>
        <w:t>Flowable fly ash backfill may be substituted for Structure Backfill (Class 1) and (Class 2) where it is used to backfill culvert pipes, storm sewer pipes, and utility cuts.  It shall not be used to backfill abutments.  Flowable fly ash backfill shall be a thoroughly mixed combination of the following ingredients:</w:t>
      </w:r>
    </w:p>
    <w:p w:rsidR="00DA0C11" w:rsidRDefault="00DA0C11" w:rsidP="00150B5F">
      <w:pPr>
        <w:widowControl w:val="0"/>
        <w:spacing w:line="264" w:lineRule="atLeast"/>
        <w:jc w:val="both"/>
        <w:rPr>
          <w:rFonts w:ascii="Times New Roman" w:hAnsi="Times New Roman"/>
          <w:sz w:val="22"/>
        </w:rPr>
      </w:pPr>
    </w:p>
    <w:p w:rsidR="00DA0C11" w:rsidRDefault="00DA0C11" w:rsidP="00150B5F">
      <w:pPr>
        <w:widowControl w:val="0"/>
        <w:spacing w:line="264" w:lineRule="atLeast"/>
        <w:ind w:left="360"/>
        <w:jc w:val="both"/>
        <w:rPr>
          <w:rFonts w:ascii="Times New Roman" w:hAnsi="Times New Roman"/>
          <w:b/>
          <w:sz w:val="22"/>
        </w:rPr>
      </w:pPr>
      <w:r>
        <w:rPr>
          <w:rFonts w:ascii="Times New Roman" w:hAnsi="Times New Roman"/>
          <w:b/>
          <w:sz w:val="22"/>
        </w:rPr>
        <w:t>Ingredients</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lbs/cu yd</w:t>
      </w:r>
    </w:p>
    <w:p w:rsidR="00DA0C11" w:rsidRDefault="00DA0C11" w:rsidP="00150B5F">
      <w:pPr>
        <w:widowControl w:val="0"/>
        <w:spacing w:line="264" w:lineRule="atLeast"/>
        <w:ind w:left="360"/>
        <w:jc w:val="both"/>
        <w:rPr>
          <w:rFonts w:ascii="Times New Roman" w:hAnsi="Times New Roman"/>
          <w:sz w:val="22"/>
        </w:rPr>
      </w:pPr>
    </w:p>
    <w:p w:rsidR="00DA0C11" w:rsidRDefault="00DA0C11" w:rsidP="00150B5F">
      <w:pPr>
        <w:widowControl w:val="0"/>
        <w:spacing w:line="264" w:lineRule="atLeast"/>
        <w:ind w:left="360"/>
        <w:jc w:val="both"/>
        <w:rPr>
          <w:rFonts w:ascii="Times New Roman" w:hAnsi="Times New Roman"/>
          <w:sz w:val="22"/>
        </w:rPr>
      </w:pPr>
      <w:r>
        <w:rPr>
          <w:rFonts w:ascii="Times New Roman" w:hAnsi="Times New Roman"/>
          <w:sz w:val="22"/>
        </w:rPr>
        <w:t>Class C Fly Ash</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200  400</w:t>
      </w:r>
    </w:p>
    <w:p w:rsidR="00DA0C11" w:rsidRDefault="00DA0C11" w:rsidP="00150B5F">
      <w:pPr>
        <w:widowControl w:val="0"/>
        <w:spacing w:line="264" w:lineRule="atLeast"/>
        <w:ind w:left="360"/>
        <w:jc w:val="both"/>
        <w:rPr>
          <w:rFonts w:ascii="Times New Roman" w:hAnsi="Times New Roman"/>
          <w:sz w:val="22"/>
        </w:rPr>
      </w:pPr>
      <w:r>
        <w:rPr>
          <w:rFonts w:ascii="Times New Roman" w:hAnsi="Times New Roman"/>
          <w:sz w:val="22"/>
        </w:rPr>
        <w:t>Class F Fly Ash</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1600 – 1800</w:t>
      </w:r>
    </w:p>
    <w:p w:rsidR="00DA0C11" w:rsidRDefault="00DA0C11" w:rsidP="00150B5F">
      <w:pPr>
        <w:widowControl w:val="0"/>
        <w:spacing w:line="264" w:lineRule="atLeast"/>
        <w:ind w:left="360" w:hanging="3888"/>
        <w:jc w:val="both"/>
        <w:rPr>
          <w:rFonts w:ascii="Times New Roman" w:hAnsi="Times New Roman"/>
          <w:sz w:val="22"/>
        </w:rPr>
      </w:pPr>
      <w:r>
        <w:rPr>
          <w:rFonts w:ascii="Times New Roman" w:hAnsi="Times New Roman"/>
          <w:sz w:val="22"/>
        </w:rPr>
        <w:tab/>
        <w:t>Water</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800 [or as needed for proper consistency]</w:t>
      </w:r>
    </w:p>
    <w:p w:rsidR="00DA0C11" w:rsidRDefault="00DA0C11" w:rsidP="00150B5F">
      <w:pPr>
        <w:widowControl w:val="0"/>
        <w:spacing w:line="264" w:lineRule="atLeast"/>
        <w:jc w:val="both"/>
        <w:rPr>
          <w:rFonts w:ascii="Times New Roman" w:hAnsi="Times New Roman"/>
          <w:sz w:val="22"/>
        </w:rPr>
      </w:pPr>
    </w:p>
    <w:p w:rsidR="00DA0C11" w:rsidRDefault="00DA0C11" w:rsidP="00150B5F">
      <w:pPr>
        <w:widowControl w:val="0"/>
        <w:spacing w:line="264" w:lineRule="atLeast"/>
        <w:jc w:val="both"/>
        <w:rPr>
          <w:rFonts w:ascii="Times New Roman" w:hAnsi="Times New Roman"/>
          <w:sz w:val="22"/>
        </w:rPr>
      </w:pPr>
      <w:r>
        <w:rPr>
          <w:rFonts w:ascii="Times New Roman" w:hAnsi="Times New Roman"/>
          <w:sz w:val="22"/>
        </w:rPr>
        <w:t>Subsection 206.03 shall include the following:</w:t>
      </w:r>
    </w:p>
    <w:p w:rsidR="00DA0C11" w:rsidRDefault="00DA0C11" w:rsidP="00150B5F">
      <w:pPr>
        <w:widowControl w:val="0"/>
        <w:spacing w:line="264" w:lineRule="atLeast"/>
        <w:jc w:val="both"/>
        <w:rPr>
          <w:rFonts w:ascii="Times New Roman" w:hAnsi="Times New Roman"/>
          <w:sz w:val="22"/>
        </w:rPr>
      </w:pPr>
    </w:p>
    <w:p w:rsidR="00DA0C11" w:rsidRDefault="00DA0C11" w:rsidP="009610A2">
      <w:pPr>
        <w:widowControl w:val="0"/>
        <w:spacing w:line="264" w:lineRule="atLeast"/>
        <w:jc w:val="both"/>
        <w:rPr>
          <w:rFonts w:ascii="Times New Roman" w:hAnsi="Times New Roman"/>
          <w:sz w:val="22"/>
        </w:rPr>
      </w:pPr>
      <w:r>
        <w:rPr>
          <w:rFonts w:ascii="Times New Roman" w:hAnsi="Times New Roman"/>
          <w:sz w:val="22"/>
        </w:rPr>
        <w:t>Compaction of flowable fly ash backfill will not be required.</w:t>
      </w:r>
    </w:p>
    <w:p w:rsidR="00DA0C11" w:rsidRDefault="00DA0C11" w:rsidP="009610A2">
      <w:pPr>
        <w:widowControl w:val="0"/>
        <w:spacing w:line="264" w:lineRule="atLeast"/>
        <w:jc w:val="both"/>
        <w:rPr>
          <w:rFonts w:ascii="Times New Roman" w:hAnsi="Times New Roman"/>
          <w:sz w:val="22"/>
        </w:rPr>
      </w:pPr>
    </w:p>
    <w:p w:rsidR="00DA0C11" w:rsidRDefault="00DA0C11" w:rsidP="009610A2">
      <w:pPr>
        <w:widowControl w:val="0"/>
        <w:spacing w:line="264" w:lineRule="atLeast"/>
        <w:jc w:val="both"/>
        <w:rPr>
          <w:rFonts w:ascii="Times New Roman" w:hAnsi="Times New Roman"/>
          <w:sz w:val="22"/>
        </w:rPr>
      </w:pPr>
      <w:r>
        <w:rPr>
          <w:rFonts w:ascii="Times New Roman" w:hAnsi="Times New Roman"/>
          <w:sz w:val="22"/>
        </w:rPr>
        <w:t>The maximum layer thickness for flowable fly ash backfill shall be 1 m (3 feet). Additional layers shall not be placed until the flowable fly ash backfill has lost sufficient moisture to be walked on without indenting more than 50 mm (2 inches).  Damage resulting from placing flowable fly ash backfill in layers that are too thick or from not allowing sufficient time between placement of layers shall be repaired at the Contractor's expense.</w:t>
      </w:r>
    </w:p>
    <w:p w:rsidR="00DA0C11" w:rsidRDefault="00DA0C11" w:rsidP="00150B5F">
      <w:pPr>
        <w:widowControl w:val="0"/>
        <w:spacing w:line="264" w:lineRule="atLeast"/>
        <w:jc w:val="both"/>
        <w:rPr>
          <w:rFonts w:ascii="Times New Roman" w:hAnsi="Times New Roman"/>
          <w:sz w:val="22"/>
        </w:rPr>
      </w:pPr>
    </w:p>
    <w:p w:rsidR="00DA0C11" w:rsidRDefault="00DA0C11" w:rsidP="00150B5F">
      <w:pPr>
        <w:widowControl w:val="0"/>
        <w:spacing w:line="264" w:lineRule="atLeast"/>
        <w:jc w:val="both"/>
        <w:rPr>
          <w:rFonts w:ascii="Times New Roman" w:hAnsi="Times New Roman"/>
          <w:sz w:val="22"/>
        </w:rPr>
      </w:pPr>
      <w:r>
        <w:rPr>
          <w:rFonts w:ascii="Times New Roman" w:hAnsi="Times New Roman"/>
          <w:sz w:val="22"/>
        </w:rPr>
        <w:t xml:space="preserve"> Subsection 206.07 shall include the following:</w:t>
      </w:r>
    </w:p>
    <w:p w:rsidR="00DA0C11" w:rsidRDefault="00DA0C11" w:rsidP="00150B5F">
      <w:pPr>
        <w:widowControl w:val="0"/>
        <w:spacing w:line="264" w:lineRule="atLeast"/>
        <w:jc w:val="both"/>
        <w:rPr>
          <w:rFonts w:ascii="Times New Roman" w:hAnsi="Times New Roman"/>
          <w:sz w:val="22"/>
        </w:rPr>
      </w:pPr>
    </w:p>
    <w:p w:rsidR="00DA0C11" w:rsidRDefault="00DA0C11" w:rsidP="009610A2">
      <w:pPr>
        <w:widowControl w:val="0"/>
        <w:spacing w:line="264" w:lineRule="atLeast"/>
        <w:jc w:val="both"/>
        <w:rPr>
          <w:rFonts w:ascii="Times New Roman" w:hAnsi="Times New Roman"/>
          <w:sz w:val="22"/>
        </w:rPr>
      </w:pPr>
      <w:r>
        <w:rPr>
          <w:rFonts w:ascii="Times New Roman" w:hAnsi="Times New Roman"/>
          <w:sz w:val="22"/>
        </w:rPr>
        <w:t xml:space="preserve">Flowable fly ash backfill substituted for Structure Backfill (Class 1) or (Class 2) will be paid for at the contract unit price for the original plan quantity of Structure Backfill (Class 1) or (Class 2). </w:t>
      </w:r>
    </w:p>
    <w:p w:rsidR="00DA0C11" w:rsidRDefault="00DA0C11" w:rsidP="00150B5F">
      <w:pPr>
        <w:widowControl w:val="0"/>
        <w:spacing w:line="264" w:lineRule="atLeast"/>
        <w:jc w:val="both"/>
        <w:rPr>
          <w:sz w:val="22"/>
        </w:rPr>
      </w:pPr>
    </w:p>
    <w:p w:rsidR="00DA0C11" w:rsidRDefault="00DA0C11" w:rsidP="00150B5F">
      <w:pPr>
        <w:widowControl w:val="0"/>
        <w:spacing w:line="264" w:lineRule="atLeast"/>
        <w:jc w:val="both"/>
        <w:rPr>
          <w:sz w:val="22"/>
        </w:rPr>
      </w:pPr>
    </w:p>
    <w:p w:rsidR="00DA0C11" w:rsidRPr="009610A2" w:rsidRDefault="00DA0C11" w:rsidP="00150B5F">
      <w:pPr>
        <w:widowControl w:val="0"/>
        <w:spacing w:line="264" w:lineRule="atLeast"/>
        <w:jc w:val="both"/>
        <w:rPr>
          <w:rFonts w:ascii="Times New Roman" w:hAnsi="Times New Roman"/>
          <w:color w:val="800000"/>
          <w:sz w:val="22"/>
        </w:rPr>
      </w:pPr>
      <w:r w:rsidRPr="009610A2">
        <w:rPr>
          <w:rFonts w:ascii="Times New Roman" w:hAnsi="Times New Roman"/>
          <w:color w:val="800000"/>
          <w:sz w:val="22"/>
        </w:rPr>
        <w:t>****************************************************************************************</w:t>
      </w:r>
    </w:p>
    <w:p w:rsidR="00DA0C11" w:rsidRPr="009610A2" w:rsidRDefault="00DA0C11" w:rsidP="00150B5F">
      <w:pPr>
        <w:widowControl w:val="0"/>
        <w:spacing w:line="264" w:lineRule="atLeast"/>
        <w:jc w:val="both"/>
        <w:rPr>
          <w:rFonts w:ascii="Times New Roman" w:hAnsi="Times New Roman"/>
          <w:color w:val="800000"/>
          <w:sz w:val="22"/>
        </w:rPr>
      </w:pPr>
      <w:r w:rsidRPr="009610A2">
        <w:rPr>
          <w:rFonts w:ascii="Times New Roman" w:hAnsi="Times New Roman"/>
          <w:b/>
          <w:color w:val="800000"/>
          <w:sz w:val="22"/>
        </w:rPr>
        <w:t>INSTRUCTIONS TO DESIGNERS</w:t>
      </w:r>
      <w:r w:rsidRPr="009610A2">
        <w:rPr>
          <w:rFonts w:ascii="Times New Roman" w:hAnsi="Times New Roman"/>
          <w:color w:val="800000"/>
          <w:sz w:val="22"/>
        </w:rPr>
        <w:t xml:space="preserve">  (delete instructions and symbols from final draft):</w:t>
      </w:r>
    </w:p>
    <w:p w:rsidR="00DA0C11" w:rsidRPr="009610A2" w:rsidRDefault="00DA0C11" w:rsidP="00150B5F">
      <w:pPr>
        <w:widowControl w:val="0"/>
        <w:spacing w:line="264" w:lineRule="atLeast"/>
        <w:jc w:val="both"/>
        <w:rPr>
          <w:rFonts w:ascii="Times New Roman" w:hAnsi="Times New Roman"/>
          <w:color w:val="800000"/>
          <w:sz w:val="22"/>
        </w:rPr>
      </w:pPr>
    </w:p>
    <w:p w:rsidR="00DA0C11" w:rsidRPr="009610A2" w:rsidRDefault="00DA0C11" w:rsidP="00150B5F">
      <w:pPr>
        <w:widowControl w:val="0"/>
        <w:spacing w:line="264" w:lineRule="atLeast"/>
        <w:jc w:val="both"/>
        <w:rPr>
          <w:color w:val="800000"/>
          <w:sz w:val="22"/>
        </w:rPr>
      </w:pPr>
      <w:r w:rsidRPr="009610A2">
        <w:rPr>
          <w:rFonts w:ascii="Times New Roman" w:hAnsi="Times New Roman"/>
          <w:color w:val="800000"/>
          <w:sz w:val="22"/>
        </w:rPr>
        <w:t>Where appropriate, verify that use of flowable fly ash backfill is acceptable with local agencies and utilities.</w:t>
      </w:r>
    </w:p>
    <w:sectPr w:rsidR="00DA0C11" w:rsidRPr="009610A2">
      <w:pgSz w:w="12240" w:h="15840"/>
      <w:pgMar w:top="720" w:right="1080" w:bottom="720" w:left="1080" w:header="576" w:footer="432" w:gutter="0"/>
      <w:cols w:space="720"/>
    </w:sectPr>
  </w:body>
</w:document>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DA0C11"/>
    <w:rsid w:val="00150B5F"/>
    <w:rsid w:val="002C7B80"/>
    <w:rsid w:val="00790643"/>
    <w:rsid w:val="009610A2"/>
    <w:rsid w:val="00BB57EF"/>
    <w:rsid w:val="00DA0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ocStyle">
    <w:name w:val="DocStyle"/>
    <w:basedOn w:val="Normal"/>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&lt;&lt;206FFAB&gt;&gt;</vt:lpstr>
    </vt:vector>
  </TitlesOfParts>
  <Company>Staff Design</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&lt;&lt;206FFAB&gt;&gt;</dc:title>
  <dc:creator>coyv</dc:creator>
  <cp:lastModifiedBy>Mike Coy</cp:lastModifiedBy>
  <cp:revision>2</cp:revision>
  <dcterms:created xsi:type="dcterms:W3CDTF">2011-01-18T21:24:00Z</dcterms:created>
  <dcterms:modified xsi:type="dcterms:W3CDTF">2011-01-18T21:24:00Z</dcterms:modified>
</cp:coreProperties>
</file>