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67" w:rsidRDefault="009F0AB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February 3, 2011</w:t>
      </w:r>
    </w:p>
    <w:p w:rsidR="005D1667" w:rsidRDefault="005D16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5D1667" w:rsidRDefault="005D16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105</w:t>
      </w:r>
    </w:p>
    <w:p w:rsidR="005D1667" w:rsidRDefault="005D16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VIOLATION OF WORKING TIME LIMITATION</w:t>
      </w:r>
    </w:p>
    <w:p w:rsidR="005D1667" w:rsidRDefault="005D16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5D1667" w:rsidRDefault="005D16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5D1667" w:rsidRDefault="005D16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rsidR="005D1667" w:rsidRDefault="005D16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5D1667" w:rsidRDefault="005D16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5D1667" w:rsidRDefault="005D16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 xml:space="preserve">Standard Specifications for Road and Bridge </w:t>
      </w:r>
      <w:proofErr w:type="gramStart"/>
      <w:r>
        <w:rPr>
          <w:rFonts w:ascii="Times New Roman" w:hAnsi="Times New Roman" w:cs="Times New Roman"/>
          <w:i/>
          <w:iCs/>
          <w:sz w:val="28"/>
          <w:szCs w:val="28"/>
        </w:rPr>
        <w:t>Construction</w:t>
      </w:r>
      <w:r>
        <w:rPr>
          <w:rFonts w:ascii="Times New Roman" w:hAnsi="Times New Roman" w:cs="Times New Roman"/>
          <w:sz w:val="28"/>
          <w:szCs w:val="28"/>
        </w:rPr>
        <w:t xml:space="preserve">  It</w:t>
      </w:r>
      <w:proofErr w:type="gramEnd"/>
      <w:r>
        <w:rPr>
          <w:rFonts w:ascii="Times New Roman" w:hAnsi="Times New Roman" w:cs="Times New Roman"/>
          <w:sz w:val="28"/>
          <w:szCs w:val="28"/>
        </w:rPr>
        <w:t xml:space="preserve"> has gone through a formal review and approval process and has been issued by CDOT’s </w:t>
      </w:r>
      <w:r w:rsidR="00397FDF">
        <w:rPr>
          <w:rFonts w:ascii="Times New Roman" w:hAnsi="Times New Roman" w:cs="Times New Roman"/>
          <w:sz w:val="28"/>
          <w:szCs w:val="28"/>
        </w:rPr>
        <w:t>Project Development</w:t>
      </w:r>
      <w:r>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206CD8">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206CD8">
        <w:rPr>
          <w:rFonts w:ascii="Times New Roman" w:hAnsi="Times New Roman" w:cs="Times New Roman"/>
          <w:sz w:val="28"/>
          <w:szCs w:val="28"/>
        </w:rPr>
        <w:t>s</w:t>
      </w:r>
      <w:r>
        <w:rPr>
          <w:rFonts w:ascii="Times New Roman" w:hAnsi="Times New Roman" w:cs="Times New Roman"/>
          <w:sz w:val="28"/>
          <w:szCs w:val="28"/>
        </w:rPr>
        <w:t xml:space="preserve"> Unit of </w:t>
      </w:r>
      <w:r w:rsidR="00627162">
        <w:rPr>
          <w:rFonts w:ascii="Times New Roman" w:hAnsi="Times New Roman" w:cs="Times New Roman"/>
          <w:sz w:val="28"/>
          <w:szCs w:val="28"/>
        </w:rPr>
        <w:t xml:space="preserve">the </w:t>
      </w:r>
      <w:r w:rsidR="00397FDF">
        <w:rPr>
          <w:rFonts w:ascii="Times New Roman" w:hAnsi="Times New Roman" w:cs="Times New Roman"/>
          <w:sz w:val="28"/>
          <w:szCs w:val="28"/>
        </w:rPr>
        <w:t>Project Development</w:t>
      </w:r>
      <w:r w:rsidR="00627162">
        <w:rPr>
          <w:rFonts w:ascii="Times New Roman" w:hAnsi="Times New Roman" w:cs="Times New Roman"/>
          <w:sz w:val="28"/>
          <w:szCs w:val="28"/>
        </w:rPr>
        <w:t xml:space="preserve"> Branch</w:t>
      </w:r>
      <w:r>
        <w:rPr>
          <w:rFonts w:ascii="Times New Roman" w:hAnsi="Times New Roman" w:cs="Times New Roman"/>
          <w:sz w:val="28"/>
          <w:szCs w:val="28"/>
        </w:rPr>
        <w:t>.  The instructions for use on CDOT construction projects appear below.</w:t>
      </w:r>
    </w:p>
    <w:p w:rsidR="005D1667" w:rsidRDefault="005D16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5D1667" w:rsidRDefault="005D16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5D1667" w:rsidRDefault="005D16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5D1667" w:rsidRPr="00627162" w:rsidRDefault="005D16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627162">
        <w:rPr>
          <w:rFonts w:ascii="Photina" w:hAnsi="Photina" w:cs="Photina"/>
          <w:b/>
          <w:bCs/>
          <w:sz w:val="28"/>
          <w:szCs w:val="28"/>
        </w:rPr>
        <w:t xml:space="preserve">Instructions for use on CDOT construction projects:  </w:t>
      </w:r>
    </w:p>
    <w:p w:rsidR="005D1667" w:rsidRDefault="005D166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383F8F"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8"/>
          <w:szCs w:val="28"/>
        </w:rPr>
      </w:pPr>
      <w:r>
        <w:rPr>
          <w:rFonts w:ascii="Times New Roman" w:hAnsi="Times New Roman" w:cs="Times New Roman"/>
          <w:sz w:val="28"/>
          <w:szCs w:val="28"/>
        </w:rPr>
        <w:t>Use this standard special provision on projects that have a working time limitation specified in the project special provisions.</w:t>
      </w:r>
    </w:p>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8"/>
          <w:szCs w:val="28"/>
        </w:rPr>
      </w:pPr>
    </w:p>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8"/>
          <w:szCs w:val="28"/>
        </w:rPr>
      </w:pPr>
    </w:p>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Pr>
          <w:rFonts w:ascii="Times New Roman" w:hAnsi="Times New Roman" w:cs="Times New Roman"/>
          <w:sz w:val="28"/>
          <w:szCs w:val="28"/>
        </w:rPr>
        <w:br w:type="page"/>
      </w:r>
      <w:r w:rsidR="009F0ABF">
        <w:rPr>
          <w:rFonts w:ascii="Arial" w:hAnsi="Arial" w:cs="Arial"/>
        </w:rPr>
        <w:lastRenderedPageBreak/>
        <w:t>February 3, 2011</w:t>
      </w:r>
    </w:p>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REVISION OF SECTION 105</w:t>
      </w:r>
    </w:p>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VIOLATION OF WORKING TIME LIMITATION</w:t>
      </w:r>
    </w:p>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rPr>
        <w:t>Section 105 of the Standard Specifications is hereby revised for this project as follows:</w:t>
      </w:r>
    </w:p>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rPr>
        <w:t>Subsection 105.03 shall include the following:</w:t>
      </w:r>
    </w:p>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5D1667" w:rsidRDefault="005D1667" w:rsidP="00383F8F">
      <w:pPr>
        <w:rPr>
          <w:rFonts w:ascii="Arial" w:hAnsi="Arial" w:cs="Arial"/>
        </w:rPr>
      </w:pPr>
      <w:r>
        <w:rPr>
          <w:rFonts w:ascii="Arial" w:hAnsi="Arial" w:cs="Arial"/>
        </w:rPr>
        <w:t xml:space="preserve">If there is a violation of the working time limitations for traffic control as set forth in the special provisions, a written notice to stop work will be imposed on the Contractor at the start of the next working day.  Work shall not resume until the Contractor assures the Engineer, in writing, that there will not be a reoccurrence of the working time violation. If more violations take place, the Engineer will notify the Contractor in writing that there will be a price reduction charge for each incident in accordance with this specification. This incident price reduction charge will be deducted from any money due the Contractor. This price reduction will not be considered a penalty but will be a price reduction for failure to perform traffic control in compliance with the Contract. </w:t>
      </w:r>
    </w:p>
    <w:p w:rsidR="005D1667" w:rsidRDefault="005D1667" w:rsidP="00383F8F">
      <w:pPr>
        <w:rPr>
          <w:rFonts w:ascii="Arial" w:hAnsi="Arial" w:cs="Arial"/>
        </w:rPr>
      </w:pPr>
    </w:p>
    <w:p w:rsidR="005D1667" w:rsidRDefault="005D1667" w:rsidP="00383F8F">
      <w:pPr>
        <w:rPr>
          <w:rFonts w:ascii="Arial" w:hAnsi="Arial" w:cs="Arial"/>
        </w:rPr>
      </w:pPr>
      <w:r>
        <w:rPr>
          <w:rFonts w:ascii="Arial" w:hAnsi="Arial" w:cs="Arial"/>
        </w:rPr>
        <w:t>An incident is any violation up to 30 minutes in duration. Each 30 minutes or increment thereof will be considered as an incident. A price reduction will be assessed for each successive or cumulative 30 minute period in violation of the working time limitations, as determined by the Engineer. The price reduction for each incident will increase at a progressive rate starting with $150 for the second incident and increasing to $1200 for the fifth and subsequent incidents in accordance with the following schedule. A 15 minute grace period will be allowed at the beginning of the second incident on the project before the price reduction is applied. This 15 minute grace period applies only to the second incident.</w:t>
      </w:r>
    </w:p>
    <w:p w:rsidR="005D1667" w:rsidRDefault="005D1667" w:rsidP="00383F8F">
      <w:pPr>
        <w:rPr>
          <w:rFonts w:ascii="Arial" w:hAnsi="Arial" w:cs="Arial"/>
        </w:rPr>
      </w:pPr>
    </w:p>
    <w:p w:rsidR="005D1667" w:rsidRDefault="005D1667" w:rsidP="00383F8F">
      <w:pPr>
        <w:rPr>
          <w:rFonts w:ascii="Arial" w:hAnsi="Arial" w:cs="Arial"/>
        </w:rPr>
      </w:pPr>
      <w:r>
        <w:rPr>
          <w:rFonts w:ascii="Arial" w:hAnsi="Arial" w:cs="Arial"/>
        </w:rPr>
        <w:t>The number of incident charges will be accumulative throughout the duration of the Contract.</w:t>
      </w:r>
    </w:p>
    <w:p w:rsidR="005D1667" w:rsidRDefault="005D1667" w:rsidP="00383F8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5D1667" w:rsidRPr="00F64E94" w:rsidRDefault="00397FD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caps/>
        </w:rPr>
      </w:pPr>
      <w:r w:rsidRPr="00F64E94">
        <w:rPr>
          <w:rFonts w:ascii="Arial" w:hAnsi="Arial" w:cs="Arial"/>
          <w:b/>
          <w:bCs/>
          <w:caps/>
        </w:rPr>
        <w:t>Price Reduction Schedule</w:t>
      </w:r>
    </w:p>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530"/>
        <w:gridCol w:w="2340"/>
        <w:gridCol w:w="2070"/>
      </w:tblGrid>
      <w:tr w:rsidR="005D1667" w:rsidRPr="00383F8F">
        <w:trPr>
          <w:trHeight w:val="340"/>
          <w:jc w:val="center"/>
        </w:trPr>
        <w:tc>
          <w:tcPr>
            <w:tcW w:w="1530" w:type="dxa"/>
            <w:tcBorders>
              <w:top w:val="double" w:sz="4" w:space="0" w:color="auto"/>
              <w:left w:val="double" w:sz="4" w:space="0" w:color="auto"/>
              <w:bottom w:val="single" w:sz="4" w:space="0" w:color="auto"/>
              <w:right w:val="single" w:sz="2" w:space="0" w:color="auto"/>
            </w:tcBorders>
            <w:vAlign w:val="center"/>
          </w:tcPr>
          <w:p w:rsidR="005D1667" w:rsidRPr="00383F8F" w:rsidRDefault="00397FDF">
            <w:pPr>
              <w:pStyle w:val="Heading1"/>
              <w:rPr>
                <w:b/>
                <w:bCs/>
                <w:u w:val="none"/>
              </w:rPr>
            </w:pPr>
            <w:r w:rsidRPr="00383F8F">
              <w:rPr>
                <w:b/>
                <w:bCs/>
                <w:u w:val="none"/>
              </w:rPr>
              <w:t>Incident</w:t>
            </w:r>
          </w:p>
        </w:tc>
        <w:tc>
          <w:tcPr>
            <w:tcW w:w="2340" w:type="dxa"/>
            <w:tcBorders>
              <w:top w:val="double" w:sz="4" w:space="0" w:color="auto"/>
              <w:left w:val="single" w:sz="2" w:space="0" w:color="auto"/>
              <w:bottom w:val="single" w:sz="4" w:space="0" w:color="auto"/>
              <w:right w:val="single" w:sz="2" w:space="0" w:color="auto"/>
            </w:tcBorders>
            <w:vAlign w:val="center"/>
          </w:tcPr>
          <w:p w:rsidR="005D1667" w:rsidRPr="00383F8F" w:rsidRDefault="00397FDF">
            <w:pPr>
              <w:pStyle w:val="Heading1"/>
              <w:rPr>
                <w:b/>
                <w:bCs/>
                <w:u w:val="none"/>
              </w:rPr>
            </w:pPr>
            <w:r w:rsidRPr="00383F8F">
              <w:rPr>
                <w:b/>
                <w:bCs/>
                <w:u w:val="none"/>
              </w:rPr>
              <w:t>Incident Rate</w:t>
            </w:r>
          </w:p>
        </w:tc>
        <w:tc>
          <w:tcPr>
            <w:tcW w:w="2070" w:type="dxa"/>
            <w:tcBorders>
              <w:top w:val="double" w:sz="4" w:space="0" w:color="auto"/>
              <w:left w:val="single" w:sz="2" w:space="0" w:color="auto"/>
              <w:bottom w:val="single" w:sz="4" w:space="0" w:color="auto"/>
              <w:right w:val="double" w:sz="4" w:space="0" w:color="auto"/>
            </w:tcBorders>
            <w:vAlign w:val="center"/>
          </w:tcPr>
          <w:p w:rsidR="005D1667" w:rsidRPr="00383F8F" w:rsidRDefault="00397FDF">
            <w:pPr>
              <w:pStyle w:val="Heading1"/>
              <w:rPr>
                <w:b/>
                <w:bCs/>
                <w:u w:val="none"/>
              </w:rPr>
            </w:pPr>
            <w:r w:rsidRPr="00383F8F">
              <w:rPr>
                <w:b/>
                <w:bCs/>
                <w:u w:val="none"/>
              </w:rPr>
              <w:t>Total Price Reduction</w:t>
            </w:r>
          </w:p>
        </w:tc>
      </w:tr>
      <w:tr w:rsidR="005D1667">
        <w:trPr>
          <w:trHeight w:val="340"/>
          <w:jc w:val="center"/>
        </w:trPr>
        <w:tc>
          <w:tcPr>
            <w:tcW w:w="1530" w:type="dxa"/>
            <w:tcBorders>
              <w:top w:val="single" w:sz="4" w:space="0" w:color="auto"/>
              <w:left w:val="double" w:sz="4" w:space="0" w:color="auto"/>
              <w:bottom w:val="nil"/>
              <w:right w:val="single" w:sz="2" w:space="0" w:color="auto"/>
            </w:tcBorders>
            <w:shd w:val="clear" w:color="auto" w:fill="E6E6E6"/>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w:t>
            </w:r>
            <w:r>
              <w:rPr>
                <w:rFonts w:ascii="Arial" w:hAnsi="Arial" w:cs="Arial"/>
                <w:vertAlign w:val="superscript"/>
              </w:rPr>
              <w:t>st</w:t>
            </w:r>
          </w:p>
        </w:tc>
        <w:tc>
          <w:tcPr>
            <w:tcW w:w="2340" w:type="dxa"/>
            <w:tcBorders>
              <w:top w:val="single" w:sz="4" w:space="0" w:color="auto"/>
              <w:left w:val="single" w:sz="2" w:space="0" w:color="auto"/>
              <w:bottom w:val="nil"/>
              <w:right w:val="single" w:sz="2" w:space="0" w:color="auto"/>
            </w:tcBorders>
            <w:shd w:val="clear" w:color="auto" w:fill="E6E6E6"/>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Notice to Stop Work</w:t>
            </w:r>
          </w:p>
        </w:tc>
        <w:tc>
          <w:tcPr>
            <w:tcW w:w="2070" w:type="dxa"/>
            <w:tcBorders>
              <w:top w:val="single" w:sz="4" w:space="0" w:color="auto"/>
              <w:left w:val="single" w:sz="2" w:space="0" w:color="auto"/>
              <w:bottom w:val="nil"/>
              <w:right w:val="double" w:sz="4" w:space="0" w:color="auto"/>
            </w:tcBorders>
            <w:shd w:val="clear" w:color="auto" w:fill="E6E6E6"/>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w:t>
            </w:r>
          </w:p>
        </w:tc>
      </w:tr>
      <w:tr w:rsidR="005D1667">
        <w:trPr>
          <w:trHeight w:val="340"/>
          <w:jc w:val="center"/>
        </w:trPr>
        <w:tc>
          <w:tcPr>
            <w:tcW w:w="1530" w:type="dxa"/>
            <w:tcBorders>
              <w:top w:val="nil"/>
              <w:left w:val="double" w:sz="4" w:space="0" w:color="auto"/>
              <w:bottom w:val="nil"/>
              <w:right w:val="single" w:sz="2" w:space="0" w:color="auto"/>
            </w:tcBorders>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2</w:t>
            </w:r>
            <w:r>
              <w:rPr>
                <w:rFonts w:ascii="Arial" w:hAnsi="Arial" w:cs="Arial"/>
                <w:vertAlign w:val="superscript"/>
              </w:rPr>
              <w:t>nd</w:t>
            </w:r>
          </w:p>
        </w:tc>
        <w:tc>
          <w:tcPr>
            <w:tcW w:w="2340" w:type="dxa"/>
            <w:tcBorders>
              <w:top w:val="nil"/>
              <w:left w:val="single" w:sz="2" w:space="0" w:color="auto"/>
              <w:bottom w:val="nil"/>
              <w:right w:val="single" w:sz="2" w:space="0" w:color="auto"/>
            </w:tcBorders>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$150</w:t>
            </w:r>
          </w:p>
        </w:tc>
        <w:tc>
          <w:tcPr>
            <w:tcW w:w="2070" w:type="dxa"/>
            <w:tcBorders>
              <w:top w:val="nil"/>
              <w:left w:val="single" w:sz="2" w:space="0" w:color="auto"/>
              <w:bottom w:val="nil"/>
              <w:right w:val="double" w:sz="4" w:space="0" w:color="auto"/>
            </w:tcBorders>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$150</w:t>
            </w:r>
          </w:p>
        </w:tc>
      </w:tr>
      <w:tr w:rsidR="005D1667">
        <w:trPr>
          <w:trHeight w:val="340"/>
          <w:jc w:val="center"/>
        </w:trPr>
        <w:tc>
          <w:tcPr>
            <w:tcW w:w="1530" w:type="dxa"/>
            <w:tcBorders>
              <w:top w:val="nil"/>
              <w:left w:val="double" w:sz="4" w:space="0" w:color="auto"/>
              <w:bottom w:val="nil"/>
              <w:right w:val="single" w:sz="2" w:space="0" w:color="auto"/>
            </w:tcBorders>
            <w:shd w:val="clear" w:color="auto" w:fill="E6E6E6"/>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3</w:t>
            </w:r>
            <w:r>
              <w:rPr>
                <w:rFonts w:ascii="Arial" w:hAnsi="Arial" w:cs="Arial"/>
                <w:vertAlign w:val="superscript"/>
              </w:rPr>
              <w:t>rd</w:t>
            </w:r>
          </w:p>
        </w:tc>
        <w:tc>
          <w:tcPr>
            <w:tcW w:w="2340" w:type="dxa"/>
            <w:tcBorders>
              <w:top w:val="nil"/>
              <w:left w:val="single" w:sz="2" w:space="0" w:color="auto"/>
              <w:bottom w:val="nil"/>
              <w:right w:val="single" w:sz="2" w:space="0" w:color="auto"/>
            </w:tcBorders>
            <w:shd w:val="clear" w:color="auto" w:fill="E6E6E6"/>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300</w:t>
            </w:r>
          </w:p>
        </w:tc>
        <w:tc>
          <w:tcPr>
            <w:tcW w:w="2070" w:type="dxa"/>
            <w:tcBorders>
              <w:top w:val="nil"/>
              <w:left w:val="single" w:sz="2" w:space="0" w:color="auto"/>
              <w:bottom w:val="nil"/>
              <w:right w:val="double" w:sz="4" w:space="0" w:color="auto"/>
            </w:tcBorders>
            <w:shd w:val="clear" w:color="auto" w:fill="E6E6E6"/>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450</w:t>
            </w:r>
          </w:p>
        </w:tc>
      </w:tr>
      <w:tr w:rsidR="005D1667">
        <w:trPr>
          <w:trHeight w:val="340"/>
          <w:jc w:val="center"/>
        </w:trPr>
        <w:tc>
          <w:tcPr>
            <w:tcW w:w="1530" w:type="dxa"/>
            <w:tcBorders>
              <w:top w:val="nil"/>
              <w:left w:val="double" w:sz="4" w:space="0" w:color="auto"/>
              <w:bottom w:val="nil"/>
              <w:right w:val="single" w:sz="2" w:space="0" w:color="auto"/>
            </w:tcBorders>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4</w:t>
            </w:r>
            <w:r>
              <w:rPr>
                <w:rFonts w:ascii="Arial" w:hAnsi="Arial" w:cs="Arial"/>
                <w:vertAlign w:val="superscript"/>
              </w:rPr>
              <w:t>th</w:t>
            </w:r>
          </w:p>
        </w:tc>
        <w:tc>
          <w:tcPr>
            <w:tcW w:w="2340" w:type="dxa"/>
            <w:tcBorders>
              <w:top w:val="nil"/>
              <w:left w:val="single" w:sz="2" w:space="0" w:color="auto"/>
              <w:bottom w:val="nil"/>
              <w:right w:val="single" w:sz="2" w:space="0" w:color="auto"/>
            </w:tcBorders>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600</w:t>
            </w:r>
          </w:p>
        </w:tc>
        <w:tc>
          <w:tcPr>
            <w:tcW w:w="2070" w:type="dxa"/>
            <w:tcBorders>
              <w:top w:val="nil"/>
              <w:left w:val="single" w:sz="2" w:space="0" w:color="auto"/>
              <w:bottom w:val="nil"/>
              <w:right w:val="double" w:sz="4" w:space="0" w:color="auto"/>
            </w:tcBorders>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1,050</w:t>
            </w:r>
          </w:p>
        </w:tc>
      </w:tr>
      <w:tr w:rsidR="005D1667">
        <w:trPr>
          <w:trHeight w:val="340"/>
          <w:jc w:val="center"/>
        </w:trPr>
        <w:tc>
          <w:tcPr>
            <w:tcW w:w="1530" w:type="dxa"/>
            <w:tcBorders>
              <w:top w:val="nil"/>
              <w:left w:val="double" w:sz="4" w:space="0" w:color="auto"/>
              <w:bottom w:val="nil"/>
              <w:right w:val="single" w:sz="2" w:space="0" w:color="auto"/>
            </w:tcBorders>
            <w:shd w:val="clear" w:color="auto" w:fill="E6E6E6"/>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5</w:t>
            </w:r>
            <w:r>
              <w:rPr>
                <w:rFonts w:ascii="Arial" w:hAnsi="Arial" w:cs="Arial"/>
                <w:vertAlign w:val="superscript"/>
              </w:rPr>
              <w:t>th</w:t>
            </w:r>
          </w:p>
        </w:tc>
        <w:tc>
          <w:tcPr>
            <w:tcW w:w="2340" w:type="dxa"/>
            <w:tcBorders>
              <w:top w:val="nil"/>
              <w:left w:val="single" w:sz="2" w:space="0" w:color="auto"/>
              <w:bottom w:val="nil"/>
              <w:right w:val="single" w:sz="2" w:space="0" w:color="auto"/>
            </w:tcBorders>
            <w:shd w:val="clear" w:color="auto" w:fill="E6E6E6"/>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1,200</w:t>
            </w:r>
          </w:p>
        </w:tc>
        <w:tc>
          <w:tcPr>
            <w:tcW w:w="2070" w:type="dxa"/>
            <w:tcBorders>
              <w:top w:val="nil"/>
              <w:left w:val="single" w:sz="2" w:space="0" w:color="auto"/>
              <w:bottom w:val="nil"/>
              <w:right w:val="double" w:sz="4" w:space="0" w:color="auto"/>
            </w:tcBorders>
            <w:shd w:val="clear" w:color="auto" w:fill="E6E6E6"/>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2,250</w:t>
            </w:r>
          </w:p>
        </w:tc>
      </w:tr>
      <w:tr w:rsidR="005D1667">
        <w:trPr>
          <w:trHeight w:val="340"/>
          <w:jc w:val="center"/>
        </w:trPr>
        <w:tc>
          <w:tcPr>
            <w:tcW w:w="1530" w:type="dxa"/>
            <w:tcBorders>
              <w:top w:val="nil"/>
              <w:left w:val="double" w:sz="4" w:space="0" w:color="auto"/>
              <w:bottom w:val="nil"/>
              <w:right w:val="single" w:sz="2" w:space="0" w:color="auto"/>
            </w:tcBorders>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6</w:t>
            </w:r>
            <w:r>
              <w:rPr>
                <w:rFonts w:ascii="Arial" w:hAnsi="Arial" w:cs="Arial"/>
                <w:vertAlign w:val="superscript"/>
              </w:rPr>
              <w:t>th</w:t>
            </w:r>
          </w:p>
        </w:tc>
        <w:tc>
          <w:tcPr>
            <w:tcW w:w="2340" w:type="dxa"/>
            <w:tcBorders>
              <w:top w:val="nil"/>
              <w:left w:val="single" w:sz="2" w:space="0" w:color="auto"/>
              <w:bottom w:val="nil"/>
              <w:right w:val="single" w:sz="2" w:space="0" w:color="auto"/>
            </w:tcBorders>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1,200</w:t>
            </w:r>
          </w:p>
        </w:tc>
        <w:tc>
          <w:tcPr>
            <w:tcW w:w="2070" w:type="dxa"/>
            <w:tcBorders>
              <w:top w:val="nil"/>
              <w:left w:val="single" w:sz="2" w:space="0" w:color="auto"/>
              <w:bottom w:val="nil"/>
              <w:right w:val="double" w:sz="4" w:space="0" w:color="auto"/>
            </w:tcBorders>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3,450</w:t>
            </w:r>
          </w:p>
        </w:tc>
      </w:tr>
      <w:tr w:rsidR="005D1667">
        <w:trPr>
          <w:trHeight w:val="340"/>
          <w:jc w:val="center"/>
        </w:trPr>
        <w:tc>
          <w:tcPr>
            <w:tcW w:w="1530" w:type="dxa"/>
            <w:tcBorders>
              <w:top w:val="nil"/>
              <w:left w:val="double" w:sz="4" w:space="0" w:color="auto"/>
              <w:bottom w:val="nil"/>
              <w:right w:val="single" w:sz="2" w:space="0" w:color="auto"/>
            </w:tcBorders>
            <w:shd w:val="clear" w:color="auto" w:fill="E6E6E6"/>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Etc.</w:t>
            </w:r>
          </w:p>
        </w:tc>
        <w:tc>
          <w:tcPr>
            <w:tcW w:w="2340" w:type="dxa"/>
            <w:tcBorders>
              <w:top w:val="nil"/>
              <w:left w:val="single" w:sz="2" w:space="0" w:color="auto"/>
              <w:bottom w:val="nil"/>
              <w:right w:val="single" w:sz="2" w:space="0" w:color="auto"/>
            </w:tcBorders>
            <w:shd w:val="clear" w:color="auto" w:fill="E6E6E6"/>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1,200</w:t>
            </w:r>
          </w:p>
        </w:tc>
        <w:tc>
          <w:tcPr>
            <w:tcW w:w="2070" w:type="dxa"/>
            <w:tcBorders>
              <w:top w:val="nil"/>
              <w:left w:val="single" w:sz="2" w:space="0" w:color="auto"/>
              <w:bottom w:val="nil"/>
              <w:right w:val="double" w:sz="4" w:space="0" w:color="auto"/>
            </w:tcBorders>
            <w:shd w:val="clear" w:color="auto" w:fill="E6E6E6"/>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4,650</w:t>
            </w:r>
          </w:p>
        </w:tc>
      </w:tr>
      <w:tr w:rsidR="005D1667">
        <w:trPr>
          <w:trHeight w:val="340"/>
          <w:jc w:val="center"/>
        </w:trPr>
        <w:tc>
          <w:tcPr>
            <w:tcW w:w="1530" w:type="dxa"/>
            <w:tcBorders>
              <w:top w:val="nil"/>
              <w:left w:val="double" w:sz="4" w:space="0" w:color="auto"/>
              <w:bottom w:val="double" w:sz="4" w:space="0" w:color="auto"/>
              <w:right w:val="single" w:sz="2" w:space="0" w:color="auto"/>
            </w:tcBorders>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tc>
        <w:tc>
          <w:tcPr>
            <w:tcW w:w="2340" w:type="dxa"/>
            <w:tcBorders>
              <w:top w:val="nil"/>
              <w:left w:val="single" w:sz="2" w:space="0" w:color="auto"/>
              <w:bottom w:val="double" w:sz="4" w:space="0" w:color="auto"/>
              <w:right w:val="single" w:sz="2" w:space="0" w:color="auto"/>
            </w:tcBorders>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Etc.</w:t>
            </w:r>
          </w:p>
        </w:tc>
        <w:tc>
          <w:tcPr>
            <w:tcW w:w="2070" w:type="dxa"/>
            <w:tcBorders>
              <w:top w:val="nil"/>
              <w:left w:val="single" w:sz="2" w:space="0" w:color="auto"/>
              <w:bottom w:val="double" w:sz="4" w:space="0" w:color="auto"/>
              <w:right w:val="double" w:sz="4" w:space="0" w:color="auto"/>
            </w:tcBorders>
            <w:vAlign w:val="center"/>
          </w:tcPr>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Etc.</w:t>
            </w:r>
          </w:p>
        </w:tc>
      </w:tr>
    </w:tbl>
    <w:p w:rsidR="005D1667" w:rsidRDefault="005D166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sectPr w:rsidR="005D1667" w:rsidSect="00691E44">
      <w:type w:val="continuous"/>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5D1667"/>
    <w:rsid w:val="00076E67"/>
    <w:rsid w:val="00206CD8"/>
    <w:rsid w:val="00383F8F"/>
    <w:rsid w:val="00397FDF"/>
    <w:rsid w:val="00552EC7"/>
    <w:rsid w:val="005D1667"/>
    <w:rsid w:val="00627162"/>
    <w:rsid w:val="00691E44"/>
    <w:rsid w:val="00882F00"/>
    <w:rsid w:val="009B2DDC"/>
    <w:rsid w:val="009F0ABF"/>
    <w:rsid w:val="00BB25E7"/>
    <w:rsid w:val="00C63CFA"/>
    <w:rsid w:val="00EB21AE"/>
    <w:rsid w:val="00F64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E44"/>
    <w:pPr>
      <w:autoSpaceDE w:val="0"/>
      <w:autoSpaceDN w:val="0"/>
    </w:pPr>
    <w:rPr>
      <w:rFonts w:ascii="CG Times" w:hAnsi="CG Times" w:cs="CG Times"/>
    </w:rPr>
  </w:style>
  <w:style w:type="paragraph" w:styleId="Heading1">
    <w:name w:val="heading 1"/>
    <w:basedOn w:val="Normal"/>
    <w:next w:val="Normal"/>
    <w:qFormat/>
    <w:rsid w:val="00691E44"/>
    <w:pPr>
      <w:keepNext/>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w:hAnsi="Arial" w:cs="Arial"/>
      <w:u w:val="single"/>
    </w:rPr>
  </w:style>
  <w:style w:type="paragraph" w:styleId="Heading4">
    <w:name w:val="heading 4"/>
    <w:basedOn w:val="Normal"/>
    <w:next w:val="Normal"/>
    <w:qFormat/>
    <w:rsid w:val="00691E44"/>
    <w:pPr>
      <w:ind w:left="360"/>
      <w:outlineLvl w:val="3"/>
    </w:pPr>
    <w:rPr>
      <w:sz w:val="24"/>
      <w:szCs w:val="24"/>
      <w:u w:val="single"/>
    </w:rPr>
  </w:style>
  <w:style w:type="paragraph" w:styleId="Heading5">
    <w:name w:val="heading 5"/>
    <w:basedOn w:val="Normal"/>
    <w:next w:val="Normal"/>
    <w:qFormat/>
    <w:rsid w:val="00691E44"/>
    <w:pPr>
      <w:ind w:left="720"/>
      <w:outlineLvl w:val="4"/>
    </w:pPr>
    <w:rPr>
      <w:b/>
      <w:bCs/>
    </w:rPr>
  </w:style>
  <w:style w:type="paragraph" w:styleId="Heading6">
    <w:name w:val="heading 6"/>
    <w:basedOn w:val="Normal"/>
    <w:next w:val="Normal"/>
    <w:qFormat/>
    <w:rsid w:val="00691E44"/>
    <w:pPr>
      <w:ind w:left="720"/>
      <w:outlineLvl w:val="5"/>
    </w:pPr>
    <w:rPr>
      <w:u w:val="single"/>
    </w:rPr>
  </w:style>
  <w:style w:type="paragraph" w:styleId="Heading7">
    <w:name w:val="heading 7"/>
    <w:basedOn w:val="Normal"/>
    <w:next w:val="Normal"/>
    <w:qFormat/>
    <w:rsid w:val="00691E44"/>
    <w:pPr>
      <w:ind w:left="720"/>
      <w:outlineLvl w:val="6"/>
    </w:pPr>
    <w:rPr>
      <w:i/>
      <w:iCs/>
    </w:rPr>
  </w:style>
  <w:style w:type="paragraph" w:styleId="Heading8">
    <w:name w:val="heading 8"/>
    <w:basedOn w:val="Normal"/>
    <w:next w:val="Normal"/>
    <w:qFormat/>
    <w:rsid w:val="00691E44"/>
    <w:pPr>
      <w:ind w:left="720"/>
      <w:outlineLvl w:val="7"/>
    </w:pPr>
    <w:rPr>
      <w:i/>
      <w:iCs/>
    </w:rPr>
  </w:style>
  <w:style w:type="paragraph" w:styleId="Heading9">
    <w:name w:val="heading 9"/>
    <w:basedOn w:val="Normal"/>
    <w:next w:val="Normal"/>
    <w:qFormat/>
    <w:rsid w:val="00691E44"/>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91E44"/>
    <w:pPr>
      <w:tabs>
        <w:tab w:val="center" w:pos="4320"/>
        <w:tab w:val="right" w:pos="8640"/>
      </w:tabs>
    </w:pPr>
  </w:style>
  <w:style w:type="paragraph" w:styleId="Header">
    <w:name w:val="header"/>
    <w:basedOn w:val="Normal"/>
    <w:rsid w:val="00691E44"/>
    <w:pPr>
      <w:tabs>
        <w:tab w:val="center" w:pos="4320"/>
        <w:tab w:val="right" w:pos="8640"/>
      </w:tabs>
    </w:pPr>
  </w:style>
  <w:style w:type="character" w:styleId="FootnoteReference">
    <w:name w:val="footnote reference"/>
    <w:basedOn w:val="DefaultParagraphFont"/>
    <w:semiHidden/>
    <w:rsid w:val="00691E44"/>
    <w:rPr>
      <w:position w:val="6"/>
      <w:sz w:val="16"/>
      <w:szCs w:val="16"/>
    </w:rPr>
  </w:style>
  <w:style w:type="paragraph" w:styleId="FootnoteText">
    <w:name w:val="footnote text"/>
    <w:basedOn w:val="Normal"/>
    <w:semiHidden/>
    <w:rsid w:val="00691E44"/>
  </w:style>
  <w:style w:type="paragraph" w:styleId="BalloonText">
    <w:name w:val="Balloon Text"/>
    <w:basedOn w:val="Normal"/>
    <w:semiHidden/>
    <w:rsid w:val="00383F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avgerisl</dc:creator>
  <cp:lastModifiedBy>Mike Coy</cp:lastModifiedBy>
  <cp:revision>5</cp:revision>
  <cp:lastPrinted>2005-07-07T20:40:00Z</cp:lastPrinted>
  <dcterms:created xsi:type="dcterms:W3CDTF">2011-01-12T21:33:00Z</dcterms:created>
  <dcterms:modified xsi:type="dcterms:W3CDTF">2011-01-13T15:49:00Z</dcterms:modified>
</cp:coreProperties>
</file>