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2E9" w:rsidRDefault="0017192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May 5, 2011</w:t>
      </w:r>
    </w:p>
    <w:p w:rsidR="00D102E9" w:rsidRDefault="00D102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D102E9" w:rsidRDefault="00D102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109</w:t>
      </w:r>
    </w:p>
    <w:p w:rsidR="00D102E9" w:rsidRDefault="00D102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COMPENSATION FOR COMPENSABLE DELAYS</w:t>
      </w:r>
    </w:p>
    <w:p w:rsidR="00D102E9" w:rsidRDefault="00D102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D102E9" w:rsidRDefault="00D102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D102E9" w:rsidRDefault="00D102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D102E9" w:rsidRDefault="00D102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D102E9" w:rsidRDefault="00D102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D102E9" w:rsidRDefault="00D102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 xml:space="preserve">Standard Specifications for Road and Bridge </w:t>
      </w:r>
      <w:proofErr w:type="gramStart"/>
      <w:r>
        <w:rPr>
          <w:i/>
          <w:iCs/>
          <w:sz w:val="28"/>
          <w:szCs w:val="28"/>
        </w:rPr>
        <w:t>Construction</w:t>
      </w:r>
      <w:r>
        <w:rPr>
          <w:sz w:val="28"/>
          <w:szCs w:val="28"/>
        </w:rPr>
        <w:t xml:space="preserve">  It</w:t>
      </w:r>
      <w:proofErr w:type="gramEnd"/>
      <w:r>
        <w:rPr>
          <w:sz w:val="28"/>
          <w:szCs w:val="28"/>
        </w:rPr>
        <w:t xml:space="preserve">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D102E9" w:rsidRDefault="00D102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D102E9" w:rsidRDefault="00D102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D102E9" w:rsidRDefault="00D102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D102E9" w:rsidRDefault="00D102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D102E9" w:rsidRDefault="00D102E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D102E9" w:rsidRDefault="00D102E9"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p>
    <w:p w:rsidR="00D102E9" w:rsidRDefault="00D102E9">
      <w:pPr>
        <w:spacing w:after="200" w:line="276" w:lineRule="auto"/>
        <w:rPr>
          <w:rFonts w:ascii="Arial" w:hAnsi="Arial" w:cs="Arial"/>
        </w:rPr>
      </w:pPr>
    </w:p>
    <w:p w:rsidR="00D102E9" w:rsidRDefault="00D102E9">
      <w:pPr>
        <w:spacing w:after="200" w:line="276" w:lineRule="auto"/>
        <w:rPr>
          <w:rFonts w:ascii="Arial" w:hAnsi="Arial" w:cs="Arial"/>
        </w:rPr>
      </w:pPr>
      <w:r>
        <w:rPr>
          <w:rFonts w:ascii="Arial" w:hAnsi="Arial" w:cs="Arial"/>
        </w:rPr>
        <w:br w:type="page"/>
      </w:r>
    </w:p>
    <w:p w:rsidR="00D102E9" w:rsidRDefault="00D102E9" w:rsidP="00D102E9">
      <w:pPr>
        <w:jc w:val="center"/>
        <w:rPr>
          <w:rFonts w:ascii="Arial" w:hAnsi="Arial" w:cs="Arial"/>
        </w:rPr>
      </w:pPr>
    </w:p>
    <w:p w:rsidR="00D102E9" w:rsidRDefault="00171926" w:rsidP="00D102E9">
      <w:pPr>
        <w:jc w:val="right"/>
        <w:rPr>
          <w:rFonts w:ascii="Arial" w:hAnsi="Arial" w:cs="Arial"/>
        </w:rPr>
      </w:pPr>
      <w:r>
        <w:rPr>
          <w:rFonts w:ascii="Arial" w:hAnsi="Arial" w:cs="Arial"/>
        </w:rPr>
        <w:t>May 5, 2011</w:t>
      </w:r>
      <w:bookmarkStart w:id="0" w:name="_GoBack"/>
      <w:bookmarkEnd w:id="0"/>
    </w:p>
    <w:p w:rsidR="00D102E9" w:rsidRDefault="00D102E9" w:rsidP="00D102E9">
      <w:pPr>
        <w:jc w:val="center"/>
        <w:rPr>
          <w:rFonts w:ascii="Arial" w:hAnsi="Arial" w:cs="Arial"/>
        </w:rPr>
      </w:pPr>
      <w:r>
        <w:rPr>
          <w:rFonts w:ascii="Arial" w:hAnsi="Arial" w:cs="Arial"/>
        </w:rPr>
        <w:t>REVISION OF SECTION 109</w:t>
      </w:r>
    </w:p>
    <w:p w:rsidR="00D102E9" w:rsidRPr="00D102E9" w:rsidRDefault="00D102E9" w:rsidP="00D102E9">
      <w:pPr>
        <w:jc w:val="center"/>
        <w:rPr>
          <w:rFonts w:ascii="Arial" w:hAnsi="Arial" w:cs="Arial"/>
        </w:rPr>
      </w:pPr>
      <w:r>
        <w:rPr>
          <w:rFonts w:ascii="Arial" w:hAnsi="Arial" w:cs="Arial"/>
        </w:rPr>
        <w:t>COMPENSATION FOR COMPENSABLE DELAYS</w:t>
      </w:r>
    </w:p>
    <w:p w:rsidR="00D102E9" w:rsidRDefault="00D102E9" w:rsidP="00D102E9">
      <w:pPr>
        <w:rPr>
          <w:rFonts w:ascii="Verdana" w:hAnsi="Verdana"/>
        </w:rPr>
      </w:pPr>
    </w:p>
    <w:p w:rsidR="00D102E9" w:rsidRPr="00D102E9" w:rsidRDefault="00D102E9" w:rsidP="00D102E9">
      <w:pPr>
        <w:rPr>
          <w:rFonts w:ascii="Arial" w:hAnsi="Arial" w:cs="Arial"/>
        </w:rPr>
      </w:pPr>
      <w:r w:rsidRPr="00D102E9">
        <w:rPr>
          <w:rFonts w:ascii="Arial" w:hAnsi="Arial" w:cs="Arial"/>
        </w:rPr>
        <w:t>In subsection 109.10, delete the first two paragraphs and replace with the following:</w:t>
      </w:r>
    </w:p>
    <w:p w:rsidR="00D102E9" w:rsidRPr="00D102E9" w:rsidRDefault="00D102E9" w:rsidP="00D102E9">
      <w:pPr>
        <w:rPr>
          <w:rFonts w:ascii="Arial" w:hAnsi="Arial" w:cs="Arial"/>
        </w:rPr>
      </w:pPr>
    </w:p>
    <w:p w:rsidR="00D102E9" w:rsidRPr="00D102E9" w:rsidRDefault="00D102E9" w:rsidP="00D102E9">
      <w:pPr>
        <w:spacing w:after="120" w:line="247" w:lineRule="auto"/>
        <w:rPr>
          <w:rFonts w:ascii="Arial" w:hAnsi="Arial" w:cs="Arial"/>
        </w:rPr>
      </w:pPr>
      <w:proofErr w:type="gramStart"/>
      <w:r w:rsidRPr="00D102E9">
        <w:rPr>
          <w:rFonts w:ascii="Arial" w:hAnsi="Arial" w:cs="Arial"/>
          <w:b/>
          <w:bCs/>
        </w:rPr>
        <w:t>109.10  Compensation</w:t>
      </w:r>
      <w:proofErr w:type="gramEnd"/>
      <w:r w:rsidRPr="00D102E9">
        <w:rPr>
          <w:rFonts w:ascii="Arial" w:hAnsi="Arial" w:cs="Arial"/>
          <w:b/>
          <w:bCs/>
        </w:rPr>
        <w:t xml:space="preserve"> for Compensable Delays.</w:t>
      </w:r>
      <w:r w:rsidRPr="00D102E9">
        <w:rPr>
          <w:rFonts w:ascii="Arial" w:hAnsi="Arial" w:cs="Arial"/>
        </w:rPr>
        <w:t xml:space="preserve">  If the Engineer determines that a delay is compensable in accordance with either subsection 105.22, 105.23, 105.24, or 108.08, monetary compensation will be determined in accordance with this subsection.</w:t>
      </w:r>
    </w:p>
    <w:p w:rsidR="00D102E9" w:rsidRPr="00D102E9" w:rsidRDefault="00D102E9" w:rsidP="00D102E9">
      <w:pPr>
        <w:widowControl w:val="0"/>
        <w:numPr>
          <w:ilvl w:val="2"/>
          <w:numId w:val="1"/>
        </w:numPr>
        <w:tabs>
          <w:tab w:val="left" w:pos="360"/>
        </w:tabs>
        <w:autoSpaceDE w:val="0"/>
        <w:autoSpaceDN w:val="0"/>
        <w:spacing w:after="120" w:line="247" w:lineRule="auto"/>
        <w:ind w:left="360"/>
        <w:rPr>
          <w:rFonts w:ascii="Arial" w:hAnsi="Arial" w:cs="Arial"/>
        </w:rPr>
      </w:pPr>
      <w:r w:rsidRPr="00D102E9">
        <w:rPr>
          <w:rFonts w:ascii="Arial" w:hAnsi="Arial" w:cs="Arial"/>
        </w:rPr>
        <w:t>These categories represent the only costs that are recoverable by the Contractor.  All other costs or categories of costs are not recoverable:</w:t>
      </w:r>
    </w:p>
    <w:p w:rsidR="00D102E9" w:rsidRPr="00D102E9" w:rsidRDefault="00D102E9" w:rsidP="00D102E9">
      <w:pPr>
        <w:widowControl w:val="0"/>
        <w:numPr>
          <w:ilvl w:val="2"/>
          <w:numId w:val="2"/>
        </w:numPr>
        <w:tabs>
          <w:tab w:val="left" w:pos="720"/>
        </w:tabs>
        <w:autoSpaceDE w:val="0"/>
        <w:autoSpaceDN w:val="0"/>
        <w:spacing w:after="40" w:line="252" w:lineRule="auto"/>
        <w:ind w:left="720"/>
        <w:rPr>
          <w:rFonts w:ascii="Arial" w:hAnsi="Arial" w:cs="Arial"/>
        </w:rPr>
      </w:pPr>
      <w:r w:rsidRPr="00D102E9">
        <w:rPr>
          <w:rFonts w:ascii="Arial" w:hAnsi="Arial" w:cs="Arial"/>
        </w:rPr>
        <w:t>Actual wages and benefits, including FICA, paid for additional labor not otherwise included in (5) below;</w:t>
      </w:r>
    </w:p>
    <w:p w:rsidR="00D102E9" w:rsidRPr="00D102E9" w:rsidRDefault="00D102E9" w:rsidP="00D102E9">
      <w:pPr>
        <w:widowControl w:val="0"/>
        <w:numPr>
          <w:ilvl w:val="2"/>
          <w:numId w:val="2"/>
        </w:numPr>
        <w:tabs>
          <w:tab w:val="left" w:pos="720"/>
        </w:tabs>
        <w:autoSpaceDE w:val="0"/>
        <w:autoSpaceDN w:val="0"/>
        <w:spacing w:after="40" w:line="252" w:lineRule="auto"/>
        <w:ind w:left="720"/>
        <w:rPr>
          <w:rFonts w:ascii="Arial" w:hAnsi="Arial" w:cs="Arial"/>
        </w:rPr>
      </w:pPr>
      <w:r w:rsidRPr="00D102E9">
        <w:rPr>
          <w:rFonts w:ascii="Arial" w:hAnsi="Arial" w:cs="Arial"/>
        </w:rPr>
        <w:t>Costs for additional bond, insurance and tax;</w:t>
      </w:r>
    </w:p>
    <w:p w:rsidR="00D102E9" w:rsidRPr="00D102E9" w:rsidRDefault="00D102E9" w:rsidP="00D102E9">
      <w:pPr>
        <w:widowControl w:val="0"/>
        <w:numPr>
          <w:ilvl w:val="2"/>
          <w:numId w:val="2"/>
        </w:numPr>
        <w:tabs>
          <w:tab w:val="left" w:pos="720"/>
        </w:tabs>
        <w:autoSpaceDE w:val="0"/>
        <w:autoSpaceDN w:val="0"/>
        <w:spacing w:after="40" w:line="252" w:lineRule="auto"/>
        <w:ind w:left="720"/>
        <w:rPr>
          <w:rFonts w:ascii="Arial" w:hAnsi="Arial" w:cs="Arial"/>
        </w:rPr>
      </w:pPr>
      <w:r w:rsidRPr="00D102E9">
        <w:rPr>
          <w:rFonts w:ascii="Arial" w:hAnsi="Arial" w:cs="Arial"/>
        </w:rPr>
        <w:t>Increased costs for materials;</w:t>
      </w:r>
    </w:p>
    <w:p w:rsidR="00D102E9" w:rsidRPr="00D102E9" w:rsidRDefault="00D102E9" w:rsidP="00D102E9">
      <w:pPr>
        <w:widowControl w:val="0"/>
        <w:numPr>
          <w:ilvl w:val="2"/>
          <w:numId w:val="2"/>
        </w:numPr>
        <w:tabs>
          <w:tab w:val="left" w:pos="720"/>
        </w:tabs>
        <w:autoSpaceDE w:val="0"/>
        <w:autoSpaceDN w:val="0"/>
        <w:spacing w:after="40" w:line="252" w:lineRule="auto"/>
        <w:ind w:left="720"/>
        <w:rPr>
          <w:rFonts w:ascii="Arial" w:hAnsi="Arial" w:cs="Arial"/>
        </w:rPr>
      </w:pPr>
      <w:r w:rsidRPr="00D102E9">
        <w:rPr>
          <w:rFonts w:ascii="Arial" w:hAnsi="Arial" w:cs="Arial"/>
        </w:rPr>
        <w:t>Equipment costs calculated in accordance with subsection 109.04(c) for Contractor owned equipment and based on invoice costs for rented equipment;</w:t>
      </w:r>
    </w:p>
    <w:p w:rsidR="00D102E9" w:rsidRPr="00D102E9" w:rsidRDefault="00D102E9" w:rsidP="00D102E9">
      <w:pPr>
        <w:widowControl w:val="0"/>
        <w:numPr>
          <w:ilvl w:val="2"/>
          <w:numId w:val="2"/>
        </w:numPr>
        <w:tabs>
          <w:tab w:val="left" w:pos="720"/>
        </w:tabs>
        <w:autoSpaceDE w:val="0"/>
        <w:autoSpaceDN w:val="0"/>
        <w:spacing w:after="40" w:line="252" w:lineRule="auto"/>
        <w:ind w:left="720"/>
        <w:rPr>
          <w:rFonts w:ascii="Arial" w:hAnsi="Arial" w:cs="Arial"/>
        </w:rPr>
      </w:pPr>
      <w:r w:rsidRPr="00D102E9">
        <w:rPr>
          <w:rFonts w:ascii="Arial" w:hAnsi="Arial" w:cs="Arial"/>
        </w:rPr>
        <w:t>Costs of extended job site overhead;</w:t>
      </w:r>
    </w:p>
    <w:p w:rsidR="00D102E9" w:rsidRPr="00D102E9" w:rsidRDefault="00D102E9" w:rsidP="00D102E9">
      <w:pPr>
        <w:widowControl w:val="0"/>
        <w:numPr>
          <w:ilvl w:val="2"/>
          <w:numId w:val="2"/>
        </w:numPr>
        <w:tabs>
          <w:tab w:val="left" w:pos="720"/>
        </w:tabs>
        <w:autoSpaceDE w:val="0"/>
        <w:autoSpaceDN w:val="0"/>
        <w:spacing w:after="40" w:line="252" w:lineRule="auto"/>
        <w:ind w:left="720"/>
        <w:rPr>
          <w:rFonts w:ascii="Arial" w:hAnsi="Arial" w:cs="Arial"/>
        </w:rPr>
      </w:pPr>
      <w:r w:rsidRPr="00D102E9">
        <w:rPr>
          <w:rFonts w:ascii="Arial" w:hAnsi="Arial" w:cs="Arial"/>
        </w:rPr>
        <w:t>Costs of salaried employees not otherwise included in (1) or (5) above incurred as a direct result of the delay;</w:t>
      </w:r>
    </w:p>
    <w:p w:rsidR="00D102E9" w:rsidRPr="00D102E9" w:rsidRDefault="00D102E9" w:rsidP="00D102E9">
      <w:pPr>
        <w:widowControl w:val="0"/>
        <w:numPr>
          <w:ilvl w:val="2"/>
          <w:numId w:val="2"/>
        </w:numPr>
        <w:tabs>
          <w:tab w:val="left" w:pos="720"/>
        </w:tabs>
        <w:autoSpaceDE w:val="0"/>
        <w:autoSpaceDN w:val="0"/>
        <w:spacing w:after="40" w:line="252" w:lineRule="auto"/>
        <w:ind w:left="720"/>
        <w:rPr>
          <w:rFonts w:ascii="Arial" w:hAnsi="Arial" w:cs="Arial"/>
        </w:rPr>
      </w:pPr>
      <w:r w:rsidRPr="00D102E9">
        <w:rPr>
          <w:rFonts w:ascii="Arial" w:hAnsi="Arial" w:cs="Arial"/>
        </w:rPr>
        <w:t>Claims from subcontractors and suppliers at any level (the same level of detail as specified herein is required for all such claims);</w:t>
      </w:r>
    </w:p>
    <w:p w:rsidR="00D102E9" w:rsidRPr="00D102E9" w:rsidRDefault="00D102E9" w:rsidP="00D102E9">
      <w:pPr>
        <w:widowControl w:val="0"/>
        <w:numPr>
          <w:ilvl w:val="2"/>
          <w:numId w:val="2"/>
        </w:numPr>
        <w:tabs>
          <w:tab w:val="left" w:pos="720"/>
        </w:tabs>
        <w:autoSpaceDE w:val="0"/>
        <w:autoSpaceDN w:val="0"/>
        <w:spacing w:after="120" w:line="247" w:lineRule="auto"/>
        <w:ind w:left="720"/>
        <w:rPr>
          <w:rFonts w:ascii="Arial" w:hAnsi="Arial" w:cs="Arial"/>
        </w:rPr>
      </w:pPr>
      <w:r w:rsidRPr="00D102E9">
        <w:rPr>
          <w:rFonts w:ascii="Arial" w:hAnsi="Arial" w:cs="Arial"/>
        </w:rPr>
        <w:t>An additional 16 percent will be added to the total of items (1) through (7) as compensation for items for which no specific allowance is provided, including profit and home office overhead.</w:t>
      </w:r>
    </w:p>
    <w:p w:rsidR="00D102E9" w:rsidRPr="00FA515D" w:rsidRDefault="00D102E9" w:rsidP="00D102E9"/>
    <w:p w:rsidR="00D102E9" w:rsidRDefault="00D102E9" w:rsidP="00D102E9"/>
    <w:p w:rsidR="001902F1" w:rsidRDefault="001902F1"/>
    <w:sectPr w:rsidR="001902F1"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14" w:rsidRDefault="00E17214">
      <w:r>
        <w:separator/>
      </w:r>
    </w:p>
  </w:endnote>
  <w:endnote w:type="continuationSeparator" w:id="0">
    <w:p w:rsidR="00E17214" w:rsidRDefault="00E1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spac821 BT">
    <w:panose1 w:val="020B0609020202020204"/>
    <w:charset w:val="00"/>
    <w:family w:val="modern"/>
    <w:pitch w:val="fixed"/>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14" w:rsidRDefault="00E17214">
      <w:r>
        <w:separator/>
      </w:r>
    </w:p>
  </w:footnote>
  <w:footnote w:type="continuationSeparator" w:id="0">
    <w:p w:rsidR="00E17214" w:rsidRDefault="00E17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E17214"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0971"/>
    <w:multiLevelType w:val="hybridMultilevel"/>
    <w:tmpl w:val="60809620"/>
    <w:lvl w:ilvl="0" w:tplc="1D0CBA28">
      <w:start w:val="6"/>
      <w:numFmt w:val="lowerLetter"/>
      <w:lvlText w:val="(%1)"/>
      <w:lvlJc w:val="left"/>
      <w:pPr>
        <w:ind w:left="2340" w:hanging="360"/>
      </w:pPr>
      <w:rPr>
        <w:rFonts w:hint="default"/>
      </w:rPr>
    </w:lvl>
    <w:lvl w:ilvl="1" w:tplc="28AA8266">
      <w:start w:val="1"/>
      <w:numFmt w:val="upperLetter"/>
      <w:lvlText w:val="%2."/>
      <w:lvlJc w:val="left"/>
      <w:pPr>
        <w:ind w:left="1440" w:hanging="360"/>
      </w:pPr>
      <w:rPr>
        <w:rFonts w:hint="default"/>
      </w:rPr>
    </w:lvl>
    <w:lvl w:ilvl="2" w:tplc="A6DCD9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971A47"/>
    <w:multiLevelType w:val="hybridMultilevel"/>
    <w:tmpl w:val="C4EE77E6"/>
    <w:lvl w:ilvl="0" w:tplc="7142521E">
      <w:start w:val="9"/>
      <w:numFmt w:val="decimal"/>
      <w:lvlText w:val="%1."/>
      <w:lvlJc w:val="left"/>
      <w:pPr>
        <w:ind w:left="2880" w:hanging="360"/>
      </w:pPr>
      <w:rPr>
        <w:rFonts w:hint="default"/>
      </w:rPr>
    </w:lvl>
    <w:lvl w:ilvl="1" w:tplc="CFC073D4">
      <w:start w:val="1"/>
      <w:numFmt w:val="decimal"/>
      <w:lvlText w:val="(%2)"/>
      <w:lvlJc w:val="left"/>
      <w:pPr>
        <w:ind w:left="1440" w:hanging="360"/>
      </w:pPr>
      <w:rPr>
        <w:rFonts w:hint="default"/>
      </w:rPr>
    </w:lvl>
    <w:lvl w:ilvl="2" w:tplc="6EEE126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E9"/>
    <w:rsid w:val="00171926"/>
    <w:rsid w:val="001902F1"/>
    <w:rsid w:val="00D102E9"/>
    <w:rsid w:val="00E1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E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02E9"/>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HeaderChar">
    <w:name w:val="Header Char"/>
    <w:basedOn w:val="DefaultParagraphFont"/>
    <w:link w:val="Header"/>
    <w:rsid w:val="00D102E9"/>
    <w:rPr>
      <w:rFonts w:ascii="Monospac821 BT" w:eastAsia="Times New Roman" w:hAnsi="Monospac821 BT" w:cs="Monospac821 B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E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02E9"/>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HeaderChar">
    <w:name w:val="Header Char"/>
    <w:basedOn w:val="DefaultParagraphFont"/>
    <w:link w:val="Header"/>
    <w:rsid w:val="00D102E9"/>
    <w:rPr>
      <w:rFonts w:ascii="Monospac821 BT" w:eastAsia="Times New Roman"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Mohan</dc:creator>
  <cp:lastModifiedBy>Sagar, Mohan</cp:lastModifiedBy>
  <cp:revision>3</cp:revision>
  <dcterms:created xsi:type="dcterms:W3CDTF">2011-04-25T20:25:00Z</dcterms:created>
  <dcterms:modified xsi:type="dcterms:W3CDTF">2011-05-02T20:40:00Z</dcterms:modified>
</cp:coreProperties>
</file>