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CD" w:rsidRDefault="00E950CD" w:rsidP="00D16104"/>
    <w:p w:rsidR="00B6299F" w:rsidRDefault="00B6299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January 30, 2014</w:t>
      </w:r>
    </w:p>
    <w:p w:rsidR="00B6299F" w:rsidRDefault="00B6299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B6299F" w:rsidRDefault="00B6299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SECTIONS 613 AND 715</w:t>
      </w:r>
    </w:p>
    <w:p w:rsidR="00B6299F" w:rsidRDefault="00B6299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LED ROADWAY LUMINAIRE</w:t>
      </w:r>
    </w:p>
    <w:p w:rsidR="00B6299F" w:rsidRDefault="00B6299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B6299F" w:rsidRDefault="00B6299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B6299F" w:rsidRDefault="00B6299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B6299F" w:rsidRDefault="00B6299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B6299F" w:rsidRDefault="00B6299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B6299F" w:rsidRDefault="00B6299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B6299F" w:rsidRDefault="00B6299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B6299F" w:rsidRDefault="00B6299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B6299F" w:rsidRDefault="00B6299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B6299F" w:rsidRPr="00084F61" w:rsidRDefault="00B6299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084F61">
        <w:rPr>
          <w:b/>
          <w:bCs/>
          <w:color w:val="800000"/>
          <w:sz w:val="28"/>
          <w:szCs w:val="28"/>
        </w:rPr>
        <w:t xml:space="preserve">Instructions for use on CDOT construction projects:  </w:t>
      </w:r>
    </w:p>
    <w:p w:rsidR="00B6299F" w:rsidRDefault="00B6299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B6299F" w:rsidRDefault="00B6299F"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light emitting diode (LED) roadway luminaires.</w:t>
      </w:r>
    </w:p>
    <w:p w:rsidR="008939E0" w:rsidRPr="008939E0" w:rsidRDefault="00B6299F" w:rsidP="00084F61">
      <w:pPr>
        <w:tabs>
          <w:tab w:val="right" w:pos="8640"/>
        </w:tabs>
        <w:rPr>
          <w:rFonts w:ascii="Arial" w:hAnsi="Arial" w:cs="Arial"/>
        </w:rPr>
      </w:pPr>
      <w:r>
        <w:rPr>
          <w:sz w:val="22"/>
        </w:rPr>
        <w:br w:type="page"/>
      </w:r>
      <w:r w:rsidR="008939E0" w:rsidRPr="008939E0">
        <w:rPr>
          <w:rFonts w:ascii="Arial" w:hAnsi="Arial" w:cs="Arial"/>
        </w:rPr>
        <w:lastRenderedPageBreak/>
        <w:t>Sections 613 and 715 of the Standard Specifications are hereby revised for this project as follows:</w:t>
      </w:r>
    </w:p>
    <w:p w:rsidR="008939E0" w:rsidRPr="008939E0" w:rsidRDefault="008939E0" w:rsidP="00AA2C04">
      <w:pPr>
        <w:pStyle w:val="NoSpacing"/>
        <w:rPr>
          <w:rFonts w:ascii="Arial" w:hAnsi="Arial" w:cs="Arial"/>
          <w:sz w:val="20"/>
          <w:szCs w:val="20"/>
        </w:rPr>
      </w:pPr>
    </w:p>
    <w:p w:rsidR="008939E0" w:rsidRPr="008939E0" w:rsidRDefault="008939E0" w:rsidP="00AA2C04">
      <w:pPr>
        <w:pStyle w:val="NoSpacing"/>
        <w:rPr>
          <w:rFonts w:ascii="Arial" w:hAnsi="Arial" w:cs="Arial"/>
          <w:sz w:val="20"/>
          <w:szCs w:val="20"/>
        </w:rPr>
      </w:pPr>
      <w:r w:rsidRPr="008939E0">
        <w:rPr>
          <w:rFonts w:ascii="Arial" w:hAnsi="Arial" w:cs="Arial"/>
          <w:sz w:val="20"/>
          <w:szCs w:val="20"/>
        </w:rPr>
        <w:t>In subsection 613.02, delete (e) and replace with the following:</w:t>
      </w:r>
    </w:p>
    <w:p w:rsidR="008939E0" w:rsidRPr="008939E0" w:rsidRDefault="008939E0" w:rsidP="00AA2C04">
      <w:pPr>
        <w:pStyle w:val="NoSpacing"/>
        <w:rPr>
          <w:rFonts w:ascii="Arial" w:hAnsi="Arial" w:cs="Arial"/>
          <w:sz w:val="20"/>
          <w:szCs w:val="20"/>
        </w:rPr>
      </w:pPr>
    </w:p>
    <w:p w:rsidR="008939E0" w:rsidRPr="008939E0" w:rsidRDefault="008939E0" w:rsidP="008939E0">
      <w:pPr>
        <w:pStyle w:val="NoSpacing"/>
        <w:numPr>
          <w:ilvl w:val="0"/>
          <w:numId w:val="9"/>
        </w:numPr>
        <w:rPr>
          <w:rFonts w:ascii="Arial" w:hAnsi="Arial" w:cs="Arial"/>
          <w:sz w:val="20"/>
          <w:szCs w:val="20"/>
        </w:rPr>
      </w:pPr>
      <w:r w:rsidRPr="008939E0">
        <w:rPr>
          <w:rFonts w:ascii="Arial" w:hAnsi="Arial" w:cs="Arial"/>
          <w:i/>
          <w:sz w:val="20"/>
          <w:szCs w:val="20"/>
        </w:rPr>
        <w:t>Luminaire</w:t>
      </w:r>
      <w:r w:rsidRPr="008939E0">
        <w:rPr>
          <w:rFonts w:ascii="Arial" w:hAnsi="Arial" w:cs="Arial"/>
          <w:sz w:val="20"/>
          <w:szCs w:val="20"/>
        </w:rPr>
        <w:t>. A complete luminaire includes the housing, lens, Light Emitting Diode (LED) luminaire, luminaire housing, driver or power generator, slip-fitting clamp or approved manufacturer mounting, all necessary internal wiring, and photoelectric control. Luminaires shall operate at either 120 VAC, 60 Hz or 277 VAC, 60 Hz. Luminaires shall meet electrical utility company requirements.</w:t>
      </w:r>
    </w:p>
    <w:p w:rsidR="008939E0" w:rsidRPr="008939E0" w:rsidRDefault="008939E0" w:rsidP="00224552">
      <w:pPr>
        <w:pStyle w:val="NoSpacing"/>
        <w:rPr>
          <w:rFonts w:ascii="Arial" w:hAnsi="Arial" w:cs="Arial"/>
          <w:sz w:val="20"/>
          <w:szCs w:val="20"/>
        </w:rPr>
      </w:pPr>
    </w:p>
    <w:p w:rsidR="008939E0" w:rsidRPr="008939E0" w:rsidRDefault="008939E0" w:rsidP="00224552">
      <w:pPr>
        <w:pStyle w:val="NoSpacing"/>
        <w:rPr>
          <w:rFonts w:ascii="Arial" w:hAnsi="Arial" w:cs="Arial"/>
          <w:sz w:val="20"/>
          <w:szCs w:val="20"/>
        </w:rPr>
      </w:pPr>
      <w:r w:rsidRPr="008939E0">
        <w:rPr>
          <w:rFonts w:ascii="Arial" w:hAnsi="Arial" w:cs="Arial"/>
          <w:sz w:val="20"/>
          <w:szCs w:val="20"/>
        </w:rPr>
        <w:t>In subsection 613.02 (</w:t>
      </w:r>
      <w:proofErr w:type="spellStart"/>
      <w:r w:rsidRPr="008939E0">
        <w:rPr>
          <w:rFonts w:ascii="Arial" w:hAnsi="Arial" w:cs="Arial"/>
          <w:sz w:val="20"/>
          <w:szCs w:val="20"/>
        </w:rPr>
        <w:t>i</w:t>
      </w:r>
      <w:proofErr w:type="spellEnd"/>
      <w:r w:rsidRPr="008939E0">
        <w:rPr>
          <w:rFonts w:ascii="Arial" w:hAnsi="Arial" w:cs="Arial"/>
          <w:sz w:val="20"/>
          <w:szCs w:val="20"/>
        </w:rPr>
        <w:t>), delete (4), (6), (7) and (8) and replace with the following:</w:t>
      </w:r>
    </w:p>
    <w:p w:rsidR="008939E0" w:rsidRPr="008939E0" w:rsidRDefault="008939E0" w:rsidP="00224552">
      <w:pPr>
        <w:pStyle w:val="NoSpacing"/>
        <w:rPr>
          <w:rFonts w:ascii="Arial" w:hAnsi="Arial" w:cs="Arial"/>
          <w:sz w:val="20"/>
          <w:szCs w:val="20"/>
        </w:rPr>
      </w:pPr>
    </w:p>
    <w:p w:rsidR="008939E0" w:rsidRPr="008939E0" w:rsidRDefault="008939E0" w:rsidP="008939E0">
      <w:pPr>
        <w:pStyle w:val="NoSpacing"/>
        <w:numPr>
          <w:ilvl w:val="0"/>
          <w:numId w:val="10"/>
        </w:numPr>
        <w:rPr>
          <w:rFonts w:ascii="Arial" w:hAnsi="Arial" w:cs="Arial"/>
          <w:sz w:val="20"/>
          <w:szCs w:val="20"/>
        </w:rPr>
      </w:pPr>
      <w:r w:rsidRPr="008939E0">
        <w:rPr>
          <w:rFonts w:ascii="Arial" w:hAnsi="Arial" w:cs="Arial"/>
          <w:sz w:val="20"/>
          <w:szCs w:val="20"/>
        </w:rPr>
        <w:t>Luminaire manufacturer’s product information including data in Illuminating Engineering Society of North America (IESNA) format, IESNA photometric distribution type for vertical and lateral distribution (example: B2-U0-G1, Type III), and a photograph or line drawing</w:t>
      </w:r>
    </w:p>
    <w:p w:rsidR="008939E0" w:rsidRPr="008939E0" w:rsidRDefault="008939E0" w:rsidP="007B6123">
      <w:pPr>
        <w:pStyle w:val="NoSpacing"/>
        <w:rPr>
          <w:rFonts w:ascii="Arial" w:hAnsi="Arial" w:cs="Arial"/>
          <w:sz w:val="20"/>
          <w:szCs w:val="20"/>
        </w:rPr>
      </w:pPr>
    </w:p>
    <w:p w:rsidR="008939E0" w:rsidRPr="008939E0" w:rsidRDefault="008939E0" w:rsidP="008939E0">
      <w:pPr>
        <w:pStyle w:val="NoSpacing"/>
        <w:numPr>
          <w:ilvl w:val="0"/>
          <w:numId w:val="11"/>
        </w:numPr>
        <w:rPr>
          <w:rFonts w:ascii="Arial" w:hAnsi="Arial" w:cs="Arial"/>
          <w:sz w:val="20"/>
          <w:szCs w:val="20"/>
        </w:rPr>
      </w:pPr>
      <w:r w:rsidRPr="008939E0">
        <w:rPr>
          <w:rFonts w:ascii="Arial" w:hAnsi="Arial" w:cs="Arial"/>
          <w:sz w:val="20"/>
          <w:szCs w:val="20"/>
        </w:rPr>
        <w:t>Luminaire Lumen Range</w:t>
      </w:r>
      <w:r w:rsidRPr="008939E0">
        <w:rPr>
          <w:rFonts w:ascii="Arial" w:hAnsi="Arial" w:cs="Arial"/>
          <w:sz w:val="20"/>
          <w:szCs w:val="20"/>
        </w:rPr>
        <w:br/>
      </w:r>
    </w:p>
    <w:p w:rsidR="008939E0" w:rsidRPr="008939E0" w:rsidRDefault="008939E0" w:rsidP="008939E0">
      <w:pPr>
        <w:pStyle w:val="NoSpacing"/>
        <w:numPr>
          <w:ilvl w:val="0"/>
          <w:numId w:val="11"/>
        </w:numPr>
        <w:rPr>
          <w:rFonts w:ascii="Arial" w:hAnsi="Arial" w:cs="Arial"/>
          <w:sz w:val="20"/>
          <w:szCs w:val="20"/>
        </w:rPr>
      </w:pPr>
      <w:r w:rsidRPr="008939E0">
        <w:rPr>
          <w:rFonts w:ascii="Arial" w:hAnsi="Arial" w:cs="Arial"/>
          <w:sz w:val="20"/>
          <w:szCs w:val="20"/>
        </w:rPr>
        <w:t>LED Driver or Power Supply</w:t>
      </w:r>
      <w:r w:rsidRPr="008939E0">
        <w:rPr>
          <w:rFonts w:ascii="Arial" w:hAnsi="Arial" w:cs="Arial"/>
          <w:sz w:val="20"/>
          <w:szCs w:val="20"/>
        </w:rPr>
        <w:br/>
      </w:r>
    </w:p>
    <w:p w:rsidR="008939E0" w:rsidRPr="008939E0" w:rsidRDefault="008939E0" w:rsidP="008939E0">
      <w:pPr>
        <w:pStyle w:val="NoSpacing"/>
        <w:numPr>
          <w:ilvl w:val="0"/>
          <w:numId w:val="11"/>
        </w:numPr>
        <w:rPr>
          <w:rFonts w:ascii="Arial" w:hAnsi="Arial" w:cs="Arial"/>
          <w:sz w:val="20"/>
          <w:szCs w:val="20"/>
        </w:rPr>
      </w:pPr>
      <w:r w:rsidRPr="008939E0">
        <w:rPr>
          <w:rFonts w:ascii="Arial" w:hAnsi="Arial" w:cs="Arial"/>
          <w:sz w:val="20"/>
          <w:szCs w:val="20"/>
        </w:rPr>
        <w:t>Lighting Control Centers and Photoelectric Control Devices</w:t>
      </w:r>
    </w:p>
    <w:p w:rsidR="008939E0" w:rsidRPr="008939E0" w:rsidRDefault="008939E0" w:rsidP="00E56AB1">
      <w:pPr>
        <w:pStyle w:val="NoSpacing"/>
        <w:rPr>
          <w:rFonts w:ascii="Arial" w:hAnsi="Arial" w:cs="Arial"/>
          <w:sz w:val="20"/>
          <w:szCs w:val="20"/>
        </w:rPr>
      </w:pPr>
    </w:p>
    <w:p w:rsidR="008939E0" w:rsidRPr="008939E0" w:rsidRDefault="008939E0" w:rsidP="00E56AB1">
      <w:pPr>
        <w:pStyle w:val="NoSpacing"/>
        <w:rPr>
          <w:rFonts w:ascii="Arial" w:hAnsi="Arial" w:cs="Arial"/>
          <w:sz w:val="20"/>
          <w:szCs w:val="20"/>
        </w:rPr>
      </w:pPr>
      <w:r w:rsidRPr="008939E0">
        <w:rPr>
          <w:rFonts w:ascii="Arial" w:hAnsi="Arial" w:cs="Arial"/>
          <w:sz w:val="20"/>
          <w:szCs w:val="20"/>
        </w:rPr>
        <w:t>Subsection 613.02 shall include the following:</w:t>
      </w:r>
    </w:p>
    <w:p w:rsidR="008939E0" w:rsidRPr="008939E0" w:rsidRDefault="008939E0" w:rsidP="00E56AB1">
      <w:pPr>
        <w:pStyle w:val="NoSpacing"/>
        <w:rPr>
          <w:rFonts w:ascii="Arial" w:hAnsi="Arial" w:cs="Arial"/>
          <w:sz w:val="20"/>
          <w:szCs w:val="20"/>
        </w:rPr>
      </w:pPr>
    </w:p>
    <w:p w:rsidR="00084F61" w:rsidRPr="00084F61" w:rsidRDefault="008939E0" w:rsidP="00084F61">
      <w:pPr>
        <w:pStyle w:val="NoSpacing"/>
        <w:numPr>
          <w:ilvl w:val="0"/>
          <w:numId w:val="12"/>
        </w:numPr>
        <w:rPr>
          <w:rFonts w:ascii="Arial" w:hAnsi="Arial" w:cs="Arial"/>
          <w:sz w:val="20"/>
          <w:szCs w:val="20"/>
        </w:rPr>
      </w:pPr>
      <w:r w:rsidRPr="008939E0">
        <w:rPr>
          <w:rFonts w:ascii="Arial" w:hAnsi="Arial" w:cs="Arial"/>
          <w:i/>
          <w:sz w:val="20"/>
          <w:szCs w:val="20"/>
        </w:rPr>
        <w:t xml:space="preserve">LED Luminaire Warranty.  </w:t>
      </w:r>
      <w:r w:rsidRPr="008939E0">
        <w:rPr>
          <w:rFonts w:ascii="Arial" w:hAnsi="Arial" w:cs="Arial"/>
          <w:sz w:val="20"/>
          <w:szCs w:val="20"/>
        </w:rPr>
        <w:t xml:space="preserve">The Contractor shall ensure that the LED Roadway Luminaire has a minimum warranty of 10 years for all parts, materials and shipping required to repair or replace the luminaire. </w:t>
      </w:r>
      <w:r w:rsidR="00084F61">
        <w:rPr>
          <w:rFonts w:ascii="Arial" w:hAnsi="Arial" w:cs="Arial"/>
          <w:sz w:val="20"/>
          <w:szCs w:val="20"/>
        </w:rPr>
        <w:t>The Contractor shall provide the manufacturer’s warranty to the Engineer prior to installing the luminaire.</w:t>
      </w:r>
    </w:p>
    <w:p w:rsidR="008939E0" w:rsidRPr="008939E0" w:rsidRDefault="008939E0" w:rsidP="008660B2">
      <w:pPr>
        <w:pStyle w:val="NoSpacing"/>
        <w:rPr>
          <w:rFonts w:ascii="Arial" w:hAnsi="Arial" w:cs="Arial"/>
          <w:sz w:val="20"/>
          <w:szCs w:val="20"/>
        </w:rPr>
      </w:pPr>
    </w:p>
    <w:p w:rsidR="008939E0" w:rsidRPr="008939E0" w:rsidRDefault="008939E0" w:rsidP="008660B2">
      <w:pPr>
        <w:pStyle w:val="NoSpacing"/>
        <w:ind w:left="360"/>
        <w:rPr>
          <w:rFonts w:ascii="Arial" w:hAnsi="Arial" w:cs="Arial"/>
          <w:sz w:val="20"/>
          <w:szCs w:val="20"/>
        </w:rPr>
      </w:pPr>
      <w:r w:rsidRPr="008939E0">
        <w:rPr>
          <w:rFonts w:ascii="Arial" w:hAnsi="Arial" w:cs="Arial"/>
          <w:sz w:val="20"/>
          <w:szCs w:val="20"/>
        </w:rPr>
        <w:t>The warranty shall cover all failures including:</w:t>
      </w:r>
      <w:r w:rsidRPr="008939E0">
        <w:rPr>
          <w:rFonts w:ascii="Arial" w:hAnsi="Arial" w:cs="Arial"/>
          <w:sz w:val="20"/>
          <w:szCs w:val="20"/>
        </w:rPr>
        <w:br/>
      </w:r>
    </w:p>
    <w:p w:rsidR="008939E0" w:rsidRPr="008939E0" w:rsidRDefault="008939E0" w:rsidP="008939E0">
      <w:pPr>
        <w:pStyle w:val="NoSpacing"/>
        <w:numPr>
          <w:ilvl w:val="0"/>
          <w:numId w:val="13"/>
        </w:numPr>
        <w:rPr>
          <w:rFonts w:ascii="Arial" w:hAnsi="Arial" w:cs="Arial"/>
          <w:sz w:val="20"/>
          <w:szCs w:val="20"/>
        </w:rPr>
      </w:pPr>
      <w:r w:rsidRPr="008939E0">
        <w:rPr>
          <w:rFonts w:ascii="Arial" w:hAnsi="Arial" w:cs="Arial"/>
          <w:sz w:val="20"/>
          <w:szCs w:val="20"/>
        </w:rPr>
        <w:t>Failure in luminaire housing, wiring, connections, drivers and photoelectric control devices.</w:t>
      </w:r>
    </w:p>
    <w:p w:rsidR="008939E0" w:rsidRPr="008939E0" w:rsidRDefault="008939E0" w:rsidP="008939E0">
      <w:pPr>
        <w:pStyle w:val="NoSpacing"/>
        <w:numPr>
          <w:ilvl w:val="0"/>
          <w:numId w:val="13"/>
        </w:numPr>
        <w:rPr>
          <w:rFonts w:ascii="Arial" w:hAnsi="Arial" w:cs="Arial"/>
          <w:sz w:val="20"/>
          <w:szCs w:val="20"/>
        </w:rPr>
      </w:pPr>
      <w:r w:rsidRPr="008939E0">
        <w:rPr>
          <w:rFonts w:ascii="Arial" w:hAnsi="Arial" w:cs="Arial"/>
          <w:sz w:val="20"/>
          <w:szCs w:val="20"/>
        </w:rPr>
        <w:t>More than 10 percent  decrease in lumen output</w:t>
      </w:r>
    </w:p>
    <w:p w:rsidR="008939E0" w:rsidRPr="008939E0" w:rsidRDefault="008939E0" w:rsidP="008939E0">
      <w:pPr>
        <w:pStyle w:val="NoSpacing"/>
        <w:numPr>
          <w:ilvl w:val="0"/>
          <w:numId w:val="13"/>
        </w:numPr>
        <w:rPr>
          <w:rFonts w:ascii="Arial" w:hAnsi="Arial" w:cs="Arial"/>
          <w:sz w:val="20"/>
          <w:szCs w:val="20"/>
        </w:rPr>
      </w:pPr>
      <w:r w:rsidRPr="008939E0">
        <w:rPr>
          <w:rFonts w:ascii="Arial" w:hAnsi="Arial" w:cs="Arial"/>
          <w:sz w:val="20"/>
          <w:szCs w:val="20"/>
        </w:rPr>
        <w:t>Significant change in color</w:t>
      </w:r>
    </w:p>
    <w:p w:rsidR="008939E0" w:rsidRPr="008939E0" w:rsidRDefault="008939E0" w:rsidP="00D63D1A">
      <w:pPr>
        <w:pStyle w:val="NoSpacing"/>
        <w:ind w:left="360"/>
        <w:rPr>
          <w:rFonts w:ascii="Arial" w:hAnsi="Arial" w:cs="Arial"/>
          <w:sz w:val="20"/>
          <w:szCs w:val="20"/>
        </w:rPr>
      </w:pPr>
    </w:p>
    <w:p w:rsidR="008939E0" w:rsidRPr="008939E0" w:rsidRDefault="008939E0" w:rsidP="00D63D1A">
      <w:pPr>
        <w:pStyle w:val="NoSpacing"/>
        <w:ind w:left="360"/>
        <w:rPr>
          <w:rFonts w:ascii="Arial" w:hAnsi="Arial" w:cs="Arial"/>
          <w:sz w:val="20"/>
          <w:szCs w:val="20"/>
        </w:rPr>
      </w:pPr>
      <w:r w:rsidRPr="008939E0">
        <w:rPr>
          <w:rFonts w:ascii="Arial" w:hAnsi="Arial" w:cs="Arial"/>
          <w:sz w:val="20"/>
          <w:szCs w:val="20"/>
        </w:rPr>
        <w:t xml:space="preserve">The warranty shall begin upon the </w:t>
      </w:r>
      <w:proofErr w:type="gramStart"/>
      <w:r w:rsidRPr="008939E0">
        <w:rPr>
          <w:rFonts w:ascii="Arial" w:hAnsi="Arial" w:cs="Arial"/>
          <w:sz w:val="20"/>
          <w:szCs w:val="20"/>
        </w:rPr>
        <w:t xml:space="preserve">date </w:t>
      </w:r>
      <w:r w:rsidR="0075366D">
        <w:rPr>
          <w:rFonts w:ascii="Arial" w:hAnsi="Arial" w:cs="Arial"/>
          <w:sz w:val="20"/>
          <w:szCs w:val="20"/>
        </w:rPr>
        <w:t xml:space="preserve"> the</w:t>
      </w:r>
      <w:proofErr w:type="gramEnd"/>
      <w:r w:rsidR="0075366D">
        <w:rPr>
          <w:rFonts w:ascii="Arial" w:hAnsi="Arial" w:cs="Arial"/>
          <w:sz w:val="20"/>
          <w:szCs w:val="20"/>
        </w:rPr>
        <w:t xml:space="preserve"> Contractor receives</w:t>
      </w:r>
      <w:r w:rsidR="00084F61">
        <w:rPr>
          <w:rFonts w:ascii="Arial" w:hAnsi="Arial" w:cs="Arial"/>
          <w:sz w:val="20"/>
          <w:szCs w:val="20"/>
        </w:rPr>
        <w:t xml:space="preserve"> the luminaire</w:t>
      </w:r>
      <w:r w:rsidRPr="008939E0">
        <w:rPr>
          <w:rFonts w:ascii="Arial" w:hAnsi="Arial" w:cs="Arial"/>
          <w:sz w:val="20"/>
          <w:szCs w:val="20"/>
        </w:rPr>
        <w:t xml:space="preserve">.  </w:t>
      </w:r>
      <w:r w:rsidR="00084F61">
        <w:rPr>
          <w:rFonts w:ascii="Arial" w:hAnsi="Arial" w:cs="Arial"/>
          <w:sz w:val="20"/>
          <w:szCs w:val="20"/>
        </w:rPr>
        <w:t>The bill</w:t>
      </w:r>
      <w:r w:rsidR="00084F61" w:rsidRPr="008939E0">
        <w:rPr>
          <w:rFonts w:ascii="Arial" w:hAnsi="Arial" w:cs="Arial"/>
          <w:sz w:val="20"/>
          <w:szCs w:val="20"/>
        </w:rPr>
        <w:t xml:space="preserve"> </w:t>
      </w:r>
      <w:r w:rsidRPr="008939E0">
        <w:rPr>
          <w:rFonts w:ascii="Arial" w:hAnsi="Arial" w:cs="Arial"/>
          <w:sz w:val="20"/>
          <w:szCs w:val="20"/>
        </w:rPr>
        <w:t xml:space="preserve">of lading shall be provided to the </w:t>
      </w:r>
      <w:r w:rsidR="00084F61">
        <w:rPr>
          <w:rFonts w:ascii="Arial" w:hAnsi="Arial" w:cs="Arial"/>
          <w:sz w:val="20"/>
          <w:szCs w:val="20"/>
        </w:rPr>
        <w:t>Engineer</w:t>
      </w:r>
      <w:r w:rsidR="00084F61" w:rsidRPr="008939E0">
        <w:rPr>
          <w:rFonts w:ascii="Arial" w:hAnsi="Arial" w:cs="Arial"/>
          <w:sz w:val="20"/>
          <w:szCs w:val="20"/>
        </w:rPr>
        <w:t xml:space="preserve"> </w:t>
      </w:r>
      <w:r w:rsidRPr="008939E0">
        <w:rPr>
          <w:rFonts w:ascii="Arial" w:hAnsi="Arial" w:cs="Arial"/>
          <w:sz w:val="20"/>
          <w:szCs w:val="20"/>
        </w:rPr>
        <w:t xml:space="preserve">prior to final payment of the lighting.  </w:t>
      </w:r>
    </w:p>
    <w:p w:rsidR="008939E0" w:rsidRPr="008939E0" w:rsidRDefault="008939E0" w:rsidP="00D63D1A">
      <w:pPr>
        <w:pStyle w:val="NoSpacing"/>
        <w:ind w:left="360"/>
        <w:rPr>
          <w:rFonts w:ascii="Arial" w:hAnsi="Arial" w:cs="Arial"/>
          <w:sz w:val="20"/>
          <w:szCs w:val="20"/>
        </w:rPr>
      </w:pPr>
    </w:p>
    <w:p w:rsidR="008939E0" w:rsidRPr="008939E0" w:rsidRDefault="008939E0" w:rsidP="008939E0">
      <w:pPr>
        <w:pStyle w:val="NoSpacing"/>
        <w:numPr>
          <w:ilvl w:val="0"/>
          <w:numId w:val="14"/>
        </w:numPr>
        <w:rPr>
          <w:rFonts w:ascii="Arial" w:hAnsi="Arial" w:cs="Arial"/>
          <w:sz w:val="20"/>
          <w:szCs w:val="20"/>
        </w:rPr>
      </w:pPr>
      <w:r w:rsidRPr="008939E0">
        <w:rPr>
          <w:rFonts w:ascii="Arial" w:hAnsi="Arial" w:cs="Arial"/>
          <w:i/>
          <w:sz w:val="20"/>
          <w:szCs w:val="20"/>
        </w:rPr>
        <w:t xml:space="preserve">Technical Support.  </w:t>
      </w:r>
      <w:r w:rsidRPr="008939E0">
        <w:rPr>
          <w:rFonts w:ascii="Arial" w:hAnsi="Arial" w:cs="Arial"/>
          <w:sz w:val="20"/>
          <w:szCs w:val="20"/>
        </w:rPr>
        <w:t>During the warranty period, technical support shall be available from the manufacturer via telephone within 24 hours of the time the call is made from the Contractor, and this support shall be made available from factory certified personnel or factory certified installers at no additional charge to the Department.</w:t>
      </w:r>
    </w:p>
    <w:p w:rsidR="008939E0" w:rsidRPr="008939E0" w:rsidRDefault="008939E0" w:rsidP="005871AB">
      <w:pPr>
        <w:pStyle w:val="NoSpacing"/>
        <w:rPr>
          <w:rFonts w:ascii="Arial" w:hAnsi="Arial" w:cs="Arial"/>
          <w:sz w:val="20"/>
          <w:szCs w:val="20"/>
        </w:rPr>
      </w:pPr>
    </w:p>
    <w:p w:rsidR="008939E0" w:rsidRPr="008939E0" w:rsidRDefault="008939E0" w:rsidP="005871AB">
      <w:pPr>
        <w:pStyle w:val="NoSpacing"/>
        <w:rPr>
          <w:rFonts w:ascii="Arial" w:hAnsi="Arial" w:cs="Arial"/>
          <w:sz w:val="20"/>
          <w:szCs w:val="20"/>
        </w:rPr>
      </w:pPr>
      <w:r w:rsidRPr="008939E0">
        <w:rPr>
          <w:rFonts w:ascii="Arial" w:hAnsi="Arial" w:cs="Arial"/>
          <w:sz w:val="20"/>
          <w:szCs w:val="20"/>
        </w:rPr>
        <w:t>In subsection 613.06, delete the first paragraph and replace with the following:</w:t>
      </w:r>
    </w:p>
    <w:p w:rsidR="008939E0" w:rsidRPr="008939E0" w:rsidRDefault="008939E0" w:rsidP="005871AB">
      <w:pPr>
        <w:pStyle w:val="NoSpacing"/>
        <w:rPr>
          <w:rFonts w:ascii="Arial" w:hAnsi="Arial" w:cs="Arial"/>
          <w:sz w:val="20"/>
          <w:szCs w:val="20"/>
        </w:rPr>
      </w:pPr>
    </w:p>
    <w:p w:rsidR="008939E0" w:rsidRPr="008939E0" w:rsidRDefault="008939E0" w:rsidP="005871AB">
      <w:pPr>
        <w:pStyle w:val="NoSpacing"/>
        <w:rPr>
          <w:rFonts w:ascii="Arial" w:hAnsi="Arial" w:cs="Arial"/>
          <w:sz w:val="20"/>
          <w:szCs w:val="20"/>
        </w:rPr>
      </w:pPr>
      <w:r w:rsidRPr="008939E0">
        <w:rPr>
          <w:rFonts w:ascii="Arial" w:hAnsi="Arial" w:cs="Arial"/>
          <w:b/>
          <w:sz w:val="20"/>
          <w:szCs w:val="20"/>
        </w:rPr>
        <w:t>613.06</w:t>
      </w:r>
      <w:r w:rsidRPr="008939E0">
        <w:rPr>
          <w:rFonts w:ascii="Arial" w:hAnsi="Arial" w:cs="Arial"/>
          <w:sz w:val="20"/>
          <w:szCs w:val="20"/>
        </w:rPr>
        <w:t xml:space="preserve"> </w:t>
      </w:r>
      <w:r w:rsidRPr="008939E0">
        <w:rPr>
          <w:rFonts w:ascii="Arial" w:hAnsi="Arial" w:cs="Arial"/>
          <w:b/>
          <w:sz w:val="20"/>
          <w:szCs w:val="20"/>
        </w:rPr>
        <w:t>Luminaires and Lamps</w:t>
      </w:r>
      <w:r w:rsidRPr="008939E0">
        <w:rPr>
          <w:rFonts w:ascii="Arial" w:hAnsi="Arial" w:cs="Arial"/>
          <w:sz w:val="20"/>
          <w:szCs w:val="20"/>
        </w:rPr>
        <w:t xml:space="preserve">. Roadway Luminaires shall be mounted on the mast arm by a slip-fitter clamp or other approved device. Luminaires shall be adjusted vertically and horizontally to provide the required orientation and maximum light distribution on the roadway and to meet Illuminating Engineering Society of North America (IESNA) TM-15 </w:t>
      </w:r>
      <w:proofErr w:type="spellStart"/>
      <w:r w:rsidRPr="008939E0">
        <w:rPr>
          <w:rFonts w:ascii="Arial" w:hAnsi="Arial" w:cs="Arial"/>
          <w:sz w:val="20"/>
          <w:szCs w:val="20"/>
        </w:rPr>
        <w:t>uplight</w:t>
      </w:r>
      <w:proofErr w:type="spellEnd"/>
      <w:r w:rsidRPr="008939E0">
        <w:rPr>
          <w:rFonts w:ascii="Arial" w:hAnsi="Arial" w:cs="Arial"/>
          <w:sz w:val="20"/>
          <w:szCs w:val="20"/>
        </w:rPr>
        <w:t xml:space="preserve"> rating of U0.</w:t>
      </w:r>
    </w:p>
    <w:p w:rsidR="008939E0" w:rsidRPr="008939E0" w:rsidRDefault="008939E0" w:rsidP="00725406">
      <w:pPr>
        <w:pStyle w:val="NoSpacing"/>
        <w:rPr>
          <w:rFonts w:ascii="Arial" w:hAnsi="Arial" w:cs="Arial"/>
          <w:sz w:val="20"/>
          <w:szCs w:val="20"/>
        </w:rPr>
      </w:pPr>
    </w:p>
    <w:p w:rsidR="008939E0" w:rsidRPr="008939E0" w:rsidRDefault="008939E0" w:rsidP="00725406">
      <w:pPr>
        <w:pStyle w:val="NoSpacing"/>
        <w:rPr>
          <w:rFonts w:ascii="Arial" w:hAnsi="Arial" w:cs="Arial"/>
          <w:sz w:val="20"/>
          <w:szCs w:val="20"/>
        </w:rPr>
      </w:pPr>
      <w:r w:rsidRPr="008939E0">
        <w:rPr>
          <w:rFonts w:ascii="Arial" w:hAnsi="Arial" w:cs="Arial"/>
          <w:sz w:val="20"/>
          <w:szCs w:val="20"/>
        </w:rPr>
        <w:t>In subsection 613.06, delete the fourth paragraph and replace with the following:</w:t>
      </w:r>
    </w:p>
    <w:p w:rsidR="008939E0" w:rsidRPr="008939E0" w:rsidRDefault="008939E0" w:rsidP="00725406">
      <w:pPr>
        <w:pStyle w:val="NoSpacing"/>
        <w:rPr>
          <w:rFonts w:ascii="Arial" w:hAnsi="Arial" w:cs="Arial"/>
          <w:sz w:val="20"/>
          <w:szCs w:val="20"/>
        </w:rPr>
      </w:pPr>
    </w:p>
    <w:p w:rsidR="008939E0" w:rsidRPr="008939E0" w:rsidRDefault="008939E0" w:rsidP="004E18F5">
      <w:pPr>
        <w:pStyle w:val="NoSpacing"/>
        <w:rPr>
          <w:rFonts w:ascii="Arial" w:hAnsi="Arial" w:cs="Arial"/>
          <w:sz w:val="20"/>
          <w:szCs w:val="20"/>
        </w:rPr>
      </w:pPr>
      <w:r w:rsidRPr="008939E0">
        <w:rPr>
          <w:rFonts w:ascii="Arial" w:hAnsi="Arial" w:cs="Arial"/>
          <w:sz w:val="20"/>
          <w:szCs w:val="20"/>
        </w:rPr>
        <w:t xml:space="preserve">Luminaires of the specified type and lumen output shall be installed as shown on the plans. The type and lumen output shall be marked on each luminaire or pole in accordance American National Standards Institute (ANSI) specifications. ANSI approved tags shall be provided and installed by the Contractor.  </w:t>
      </w:r>
    </w:p>
    <w:p w:rsidR="008939E0" w:rsidRPr="008939E0" w:rsidRDefault="008939E0" w:rsidP="00084F61">
      <w:pPr>
        <w:jc w:val="center"/>
        <w:rPr>
          <w:rFonts w:ascii="Arial" w:hAnsi="Arial" w:cs="Arial"/>
        </w:rPr>
      </w:pPr>
      <w:r w:rsidRPr="008939E0">
        <w:rPr>
          <w:rFonts w:ascii="Arial" w:hAnsi="Arial" w:cs="Arial"/>
        </w:rPr>
        <w:br w:type="page"/>
      </w:r>
    </w:p>
    <w:p w:rsidR="008939E0" w:rsidRPr="008939E0" w:rsidRDefault="008939E0" w:rsidP="004E18F5">
      <w:pPr>
        <w:pStyle w:val="NoSpacing"/>
        <w:rPr>
          <w:rFonts w:ascii="Arial" w:hAnsi="Arial" w:cs="Arial"/>
          <w:sz w:val="20"/>
          <w:szCs w:val="20"/>
        </w:rPr>
      </w:pPr>
      <w:r w:rsidRPr="008939E0">
        <w:rPr>
          <w:rFonts w:ascii="Arial" w:hAnsi="Arial" w:cs="Arial"/>
          <w:sz w:val="20"/>
          <w:szCs w:val="20"/>
        </w:rPr>
        <w:t>Subsection 613.12 shall include the following:</w:t>
      </w:r>
    </w:p>
    <w:p w:rsidR="008939E0" w:rsidRPr="008939E0" w:rsidRDefault="008939E0" w:rsidP="004E18F5">
      <w:pPr>
        <w:pStyle w:val="NoSpacing"/>
        <w:rPr>
          <w:rFonts w:ascii="Arial" w:hAnsi="Arial" w:cs="Arial"/>
          <w:sz w:val="20"/>
          <w:szCs w:val="20"/>
        </w:rPr>
      </w:pPr>
    </w:p>
    <w:p w:rsidR="008939E0" w:rsidRPr="008939E0" w:rsidRDefault="008939E0" w:rsidP="004E18F5">
      <w:pPr>
        <w:pStyle w:val="NoSpacing"/>
        <w:rPr>
          <w:rFonts w:ascii="Arial" w:hAnsi="Arial" w:cs="Arial"/>
          <w:b/>
          <w:sz w:val="20"/>
          <w:szCs w:val="20"/>
        </w:rPr>
      </w:pPr>
      <w:r w:rsidRPr="008939E0">
        <w:rPr>
          <w:rFonts w:ascii="Arial" w:hAnsi="Arial" w:cs="Arial"/>
          <w:b/>
          <w:sz w:val="20"/>
          <w:szCs w:val="20"/>
        </w:rPr>
        <w:t>Pay Item</w:t>
      </w:r>
      <w:r w:rsidRPr="008939E0">
        <w:rPr>
          <w:rFonts w:ascii="Arial" w:hAnsi="Arial" w:cs="Arial"/>
          <w:b/>
          <w:sz w:val="20"/>
          <w:szCs w:val="20"/>
        </w:rPr>
        <w:tab/>
      </w:r>
      <w:r w:rsidRPr="008939E0">
        <w:rPr>
          <w:rFonts w:ascii="Arial" w:hAnsi="Arial" w:cs="Arial"/>
          <w:b/>
          <w:sz w:val="20"/>
          <w:szCs w:val="20"/>
        </w:rPr>
        <w:tab/>
      </w:r>
      <w:r w:rsidRPr="008939E0">
        <w:rPr>
          <w:rFonts w:ascii="Arial" w:hAnsi="Arial" w:cs="Arial"/>
          <w:b/>
          <w:sz w:val="20"/>
          <w:szCs w:val="20"/>
        </w:rPr>
        <w:tab/>
      </w:r>
      <w:r w:rsidRPr="008939E0">
        <w:rPr>
          <w:rFonts w:ascii="Arial" w:hAnsi="Arial" w:cs="Arial"/>
          <w:b/>
          <w:sz w:val="20"/>
          <w:szCs w:val="20"/>
        </w:rPr>
        <w:tab/>
      </w:r>
      <w:r w:rsidR="00084F61">
        <w:rPr>
          <w:rFonts w:ascii="Arial" w:hAnsi="Arial" w:cs="Arial"/>
          <w:b/>
          <w:sz w:val="20"/>
          <w:szCs w:val="20"/>
        </w:rPr>
        <w:tab/>
      </w:r>
      <w:r w:rsidR="00084F61">
        <w:rPr>
          <w:rFonts w:ascii="Arial" w:hAnsi="Arial" w:cs="Arial"/>
          <w:b/>
          <w:sz w:val="20"/>
          <w:szCs w:val="20"/>
        </w:rPr>
        <w:tab/>
      </w:r>
      <w:r w:rsidR="00084F61">
        <w:rPr>
          <w:rFonts w:ascii="Arial" w:hAnsi="Arial" w:cs="Arial"/>
          <w:b/>
          <w:sz w:val="20"/>
          <w:szCs w:val="20"/>
        </w:rPr>
        <w:tab/>
      </w:r>
      <w:r w:rsidRPr="008939E0">
        <w:rPr>
          <w:rFonts w:ascii="Arial" w:hAnsi="Arial" w:cs="Arial"/>
          <w:b/>
          <w:sz w:val="20"/>
          <w:szCs w:val="20"/>
        </w:rPr>
        <w:t>Pay Unit</w:t>
      </w:r>
    </w:p>
    <w:p w:rsidR="008939E0" w:rsidRPr="008939E0" w:rsidRDefault="008939E0" w:rsidP="004E18F5">
      <w:pPr>
        <w:pStyle w:val="NoSpacing"/>
        <w:rPr>
          <w:rFonts w:ascii="Arial" w:hAnsi="Arial" w:cs="Arial"/>
          <w:sz w:val="20"/>
          <w:szCs w:val="20"/>
        </w:rPr>
      </w:pPr>
      <w:r w:rsidRPr="008939E0">
        <w:rPr>
          <w:rFonts w:ascii="Arial" w:hAnsi="Arial" w:cs="Arial"/>
          <w:sz w:val="20"/>
          <w:szCs w:val="20"/>
        </w:rPr>
        <w:t>Luminaire (LED) (__ Lumens)</w:t>
      </w:r>
      <w:r w:rsidRPr="008939E0">
        <w:rPr>
          <w:rFonts w:ascii="Arial" w:hAnsi="Arial" w:cs="Arial"/>
          <w:sz w:val="20"/>
          <w:szCs w:val="20"/>
        </w:rPr>
        <w:tab/>
      </w:r>
      <w:r w:rsidRPr="008939E0">
        <w:rPr>
          <w:rFonts w:ascii="Arial" w:hAnsi="Arial" w:cs="Arial"/>
          <w:sz w:val="20"/>
          <w:szCs w:val="20"/>
        </w:rPr>
        <w:tab/>
        <w:t>Each</w:t>
      </w:r>
    </w:p>
    <w:p w:rsidR="008939E0" w:rsidRPr="008939E0" w:rsidRDefault="008939E0" w:rsidP="004E18F5">
      <w:pPr>
        <w:pStyle w:val="NoSpacing"/>
        <w:rPr>
          <w:rFonts w:ascii="Arial" w:hAnsi="Arial" w:cs="Arial"/>
          <w:sz w:val="20"/>
          <w:szCs w:val="20"/>
        </w:rPr>
      </w:pPr>
    </w:p>
    <w:p w:rsidR="008939E0" w:rsidRDefault="008939E0" w:rsidP="0035537F">
      <w:pPr>
        <w:adjustRightInd w:val="0"/>
        <w:ind w:left="360" w:hanging="360"/>
        <w:rPr>
          <w:rFonts w:ascii="Arial" w:eastAsia="TimesNewRomanPS" w:hAnsi="Arial" w:cs="Arial"/>
          <w:iCs/>
        </w:rPr>
      </w:pPr>
      <w:r w:rsidRPr="008939E0">
        <w:rPr>
          <w:rFonts w:ascii="Arial" w:eastAsia="TimesNewRomanPS" w:hAnsi="Arial" w:cs="Arial"/>
          <w:iCs/>
        </w:rPr>
        <w:t xml:space="preserve">In subsection 715.04 (a), delete 2. </w:t>
      </w:r>
      <w:proofErr w:type="gramStart"/>
      <w:r w:rsidRPr="008939E0">
        <w:rPr>
          <w:rFonts w:ascii="Arial" w:eastAsia="TimesNewRomanPS" w:hAnsi="Arial" w:cs="Arial"/>
          <w:iCs/>
        </w:rPr>
        <w:t>and</w:t>
      </w:r>
      <w:proofErr w:type="gramEnd"/>
      <w:r w:rsidRPr="008939E0">
        <w:rPr>
          <w:rFonts w:ascii="Arial" w:eastAsia="TimesNewRomanPS" w:hAnsi="Arial" w:cs="Arial"/>
          <w:iCs/>
        </w:rPr>
        <w:t xml:space="preserve"> 4. </w:t>
      </w:r>
      <w:proofErr w:type="gramStart"/>
      <w:r w:rsidRPr="008939E0">
        <w:rPr>
          <w:rFonts w:ascii="Arial" w:eastAsia="TimesNewRomanPS" w:hAnsi="Arial" w:cs="Arial"/>
          <w:iCs/>
        </w:rPr>
        <w:t>and</w:t>
      </w:r>
      <w:proofErr w:type="gramEnd"/>
      <w:r w:rsidRPr="008939E0">
        <w:rPr>
          <w:rFonts w:ascii="Arial" w:eastAsia="TimesNewRomanPS" w:hAnsi="Arial" w:cs="Arial"/>
          <w:iCs/>
        </w:rPr>
        <w:t xml:space="preserve"> replace with the following:</w:t>
      </w:r>
    </w:p>
    <w:p w:rsidR="003340E0" w:rsidRPr="008939E0" w:rsidRDefault="003340E0" w:rsidP="0035537F">
      <w:pPr>
        <w:adjustRightInd w:val="0"/>
        <w:ind w:left="360" w:hanging="360"/>
        <w:rPr>
          <w:rFonts w:ascii="Arial" w:eastAsia="TimesNewRomanPS" w:hAnsi="Arial" w:cs="Arial"/>
          <w:i/>
          <w:iCs/>
        </w:rPr>
      </w:pPr>
    </w:p>
    <w:p w:rsidR="008939E0" w:rsidRPr="008939E0" w:rsidRDefault="008939E0" w:rsidP="008939E0">
      <w:pPr>
        <w:pStyle w:val="ListParagraph"/>
        <w:widowControl w:val="0"/>
        <w:numPr>
          <w:ilvl w:val="0"/>
          <w:numId w:val="20"/>
        </w:numPr>
        <w:autoSpaceDE w:val="0"/>
        <w:autoSpaceDN w:val="0"/>
        <w:spacing w:after="0" w:line="264" w:lineRule="auto"/>
        <w:rPr>
          <w:rFonts w:ascii="Arial" w:hAnsi="Arial" w:cs="Arial"/>
          <w:b/>
          <w:kern w:val="2"/>
          <w:sz w:val="20"/>
          <w:szCs w:val="20"/>
        </w:rPr>
      </w:pPr>
      <w:r w:rsidRPr="008939E0">
        <w:rPr>
          <w:rFonts w:ascii="Arial" w:hAnsi="Arial" w:cs="Arial"/>
          <w:sz w:val="20"/>
          <w:szCs w:val="20"/>
        </w:rPr>
        <w:t xml:space="preserve">Optical Chamber. The luminaire distribution shall be equal to or less than an Illuminating Engineering Society of North America (IES) TM15-11 Backlight </w:t>
      </w:r>
      <w:proofErr w:type="spellStart"/>
      <w:r w:rsidRPr="008939E0">
        <w:rPr>
          <w:rFonts w:ascii="Arial" w:hAnsi="Arial" w:cs="Arial"/>
          <w:sz w:val="20"/>
          <w:szCs w:val="20"/>
        </w:rPr>
        <w:t>Uplight</w:t>
      </w:r>
      <w:proofErr w:type="spellEnd"/>
      <w:r w:rsidRPr="008939E0">
        <w:rPr>
          <w:rFonts w:ascii="Arial" w:hAnsi="Arial" w:cs="Arial"/>
          <w:sz w:val="20"/>
          <w:szCs w:val="20"/>
        </w:rPr>
        <w:t xml:space="preserve"> and Glare (BUG) ratings listed below in Table 715-1 based on initial lumens or Light Loss Factor (LLF) = 1.0. Roadway luminaires with a U value greater than U0 shall not be accepted.  The optical chamber shall be completely sealed from the housing, or the housing shall be completely sealed. A seamless one piece memory-retentive gasket shall seal the optical chamber or housing against the luminaire lens door. All wires entering the optical chamber shall be </w:t>
      </w:r>
      <w:proofErr w:type="spellStart"/>
      <w:r w:rsidRPr="008939E0">
        <w:rPr>
          <w:rFonts w:ascii="Arial" w:hAnsi="Arial" w:cs="Arial"/>
          <w:sz w:val="20"/>
          <w:szCs w:val="20"/>
        </w:rPr>
        <w:t>gasketed</w:t>
      </w:r>
      <w:proofErr w:type="spellEnd"/>
      <w:r w:rsidRPr="008939E0">
        <w:rPr>
          <w:rFonts w:ascii="Arial" w:hAnsi="Arial" w:cs="Arial"/>
          <w:sz w:val="20"/>
          <w:szCs w:val="20"/>
        </w:rPr>
        <w:t xml:space="preserve"> at their point of entry. Socket mountings, rivets used in the construction or support of the reflector system, and all other penetrations into the optical chamber shall be completely sealed. The optical chamber shall be water tight when the luminaire door is closed.</w:t>
      </w:r>
    </w:p>
    <w:p w:rsidR="008939E0" w:rsidRPr="008939E0" w:rsidRDefault="008939E0" w:rsidP="008660B2">
      <w:pPr>
        <w:spacing w:line="264" w:lineRule="auto"/>
        <w:ind w:left="907"/>
        <w:jc w:val="center"/>
        <w:rPr>
          <w:rFonts w:ascii="Arial" w:hAnsi="Arial" w:cs="Arial"/>
          <w:b/>
          <w:kern w:val="2"/>
        </w:rPr>
      </w:pPr>
    </w:p>
    <w:p w:rsidR="008939E0" w:rsidRPr="008939E0" w:rsidRDefault="008939E0" w:rsidP="008660B2">
      <w:pPr>
        <w:spacing w:line="264" w:lineRule="auto"/>
        <w:ind w:left="907"/>
        <w:jc w:val="center"/>
        <w:rPr>
          <w:rFonts w:ascii="Arial" w:hAnsi="Arial" w:cs="Arial"/>
          <w:b/>
          <w:kern w:val="2"/>
        </w:rPr>
      </w:pPr>
      <w:r w:rsidRPr="008939E0">
        <w:rPr>
          <w:rFonts w:ascii="Arial" w:hAnsi="Arial" w:cs="Arial"/>
          <w:b/>
          <w:kern w:val="2"/>
        </w:rPr>
        <w:t>Table 715-1</w:t>
      </w:r>
      <w:r w:rsidRPr="008939E0">
        <w:rPr>
          <w:rFonts w:ascii="Arial" w:hAnsi="Arial" w:cs="Arial"/>
          <w:b/>
          <w:kern w:val="2"/>
        </w:rPr>
        <w:br/>
        <w:t xml:space="preserve">BACKLIGHT, UPLIGHT AND GLARE (BUG) VALUES </w:t>
      </w:r>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69"/>
        <w:gridCol w:w="1736"/>
        <w:gridCol w:w="1350"/>
        <w:gridCol w:w="1260"/>
        <w:gridCol w:w="1170"/>
      </w:tblGrid>
      <w:tr w:rsidR="00671298" w:rsidRPr="008939E0" w:rsidTr="008939E0">
        <w:trPr>
          <w:jc w:val="center"/>
        </w:trPr>
        <w:tc>
          <w:tcPr>
            <w:tcW w:w="1769" w:type="dxa"/>
            <w:tcBorders>
              <w:top w:val="double" w:sz="4" w:space="0" w:color="auto"/>
              <w:left w:val="double" w:sz="4" w:space="0" w:color="auto"/>
              <w:bottom w:val="single" w:sz="4" w:space="0" w:color="auto"/>
              <w:right w:val="nil"/>
            </w:tcBorders>
            <w:shd w:val="clear" w:color="auto" w:fill="FFFFFF"/>
          </w:tcPr>
          <w:p w:rsidR="008939E0" w:rsidRPr="008939E0" w:rsidRDefault="008939E0" w:rsidP="008939E0">
            <w:pPr>
              <w:spacing w:line="264" w:lineRule="auto"/>
              <w:jc w:val="center"/>
              <w:rPr>
                <w:rFonts w:ascii="Arial" w:hAnsi="Arial" w:cs="Arial"/>
                <w:color w:val="000000"/>
                <w:kern w:val="2"/>
              </w:rPr>
            </w:pPr>
            <w:r w:rsidRPr="008939E0">
              <w:rPr>
                <w:rFonts w:ascii="Arial" w:hAnsi="Arial" w:cs="Arial"/>
                <w:color w:val="000000"/>
                <w:kern w:val="2"/>
              </w:rPr>
              <w:t>Luminaire Mounting Location</w:t>
            </w:r>
          </w:p>
        </w:tc>
        <w:tc>
          <w:tcPr>
            <w:tcW w:w="1736" w:type="dxa"/>
            <w:tcBorders>
              <w:top w:val="double" w:sz="4" w:space="0" w:color="auto"/>
              <w:left w:val="nil"/>
              <w:bottom w:val="single" w:sz="4" w:space="0" w:color="auto"/>
              <w:right w:val="nil"/>
            </w:tcBorders>
            <w:shd w:val="clear" w:color="auto" w:fill="FFFFFF"/>
          </w:tcPr>
          <w:p w:rsidR="008939E0" w:rsidRPr="008939E0" w:rsidRDefault="008939E0" w:rsidP="008939E0">
            <w:pPr>
              <w:spacing w:line="264" w:lineRule="auto"/>
              <w:jc w:val="center"/>
              <w:rPr>
                <w:rFonts w:ascii="Arial" w:hAnsi="Arial" w:cs="Arial"/>
                <w:color w:val="000000"/>
                <w:kern w:val="2"/>
              </w:rPr>
            </w:pPr>
            <w:r w:rsidRPr="008939E0">
              <w:rPr>
                <w:rFonts w:ascii="Arial" w:hAnsi="Arial" w:cs="Arial"/>
                <w:color w:val="000000"/>
                <w:kern w:val="2"/>
              </w:rPr>
              <w:t>Minimum Initial Luminaire Lumen Range</w:t>
            </w:r>
          </w:p>
        </w:tc>
        <w:tc>
          <w:tcPr>
            <w:tcW w:w="1350" w:type="dxa"/>
            <w:tcBorders>
              <w:top w:val="double" w:sz="4" w:space="0" w:color="auto"/>
              <w:left w:val="nil"/>
              <w:bottom w:val="single" w:sz="4" w:space="0" w:color="auto"/>
              <w:right w:val="nil"/>
            </w:tcBorders>
            <w:shd w:val="clear" w:color="auto" w:fill="FFFFFF"/>
          </w:tcPr>
          <w:p w:rsidR="008939E0" w:rsidRPr="008939E0" w:rsidRDefault="008939E0" w:rsidP="008939E0">
            <w:pPr>
              <w:spacing w:line="264" w:lineRule="auto"/>
              <w:jc w:val="center"/>
              <w:rPr>
                <w:rFonts w:ascii="Arial" w:hAnsi="Arial" w:cs="Arial"/>
                <w:color w:val="000000"/>
                <w:kern w:val="2"/>
              </w:rPr>
            </w:pPr>
            <w:r w:rsidRPr="008939E0">
              <w:rPr>
                <w:rFonts w:ascii="Arial" w:hAnsi="Arial" w:cs="Arial"/>
                <w:color w:val="000000"/>
                <w:kern w:val="2"/>
              </w:rPr>
              <w:t>Backlight (B) Rating Maximum</w:t>
            </w:r>
          </w:p>
        </w:tc>
        <w:tc>
          <w:tcPr>
            <w:tcW w:w="1260" w:type="dxa"/>
            <w:tcBorders>
              <w:top w:val="double" w:sz="4" w:space="0" w:color="auto"/>
              <w:left w:val="nil"/>
              <w:bottom w:val="single" w:sz="4" w:space="0" w:color="auto"/>
              <w:right w:val="nil"/>
            </w:tcBorders>
            <w:shd w:val="clear" w:color="auto" w:fill="FFFFFF"/>
          </w:tcPr>
          <w:p w:rsidR="008939E0" w:rsidRPr="008939E0" w:rsidRDefault="008939E0" w:rsidP="008939E0">
            <w:pPr>
              <w:spacing w:line="264" w:lineRule="auto"/>
              <w:jc w:val="center"/>
              <w:rPr>
                <w:rFonts w:ascii="Arial" w:hAnsi="Arial" w:cs="Arial"/>
                <w:color w:val="000000"/>
                <w:kern w:val="2"/>
              </w:rPr>
            </w:pPr>
            <w:proofErr w:type="spellStart"/>
            <w:r w:rsidRPr="008939E0">
              <w:rPr>
                <w:rFonts w:ascii="Arial" w:hAnsi="Arial" w:cs="Arial"/>
                <w:color w:val="000000"/>
                <w:kern w:val="2"/>
              </w:rPr>
              <w:t>Uplight</w:t>
            </w:r>
            <w:proofErr w:type="spellEnd"/>
            <w:r w:rsidRPr="008939E0">
              <w:rPr>
                <w:rFonts w:ascii="Arial" w:hAnsi="Arial" w:cs="Arial"/>
                <w:color w:val="000000"/>
                <w:kern w:val="2"/>
              </w:rPr>
              <w:t xml:space="preserve"> (U) Rating Maximum</w:t>
            </w:r>
          </w:p>
        </w:tc>
        <w:tc>
          <w:tcPr>
            <w:tcW w:w="1170" w:type="dxa"/>
            <w:tcBorders>
              <w:top w:val="double" w:sz="4" w:space="0" w:color="auto"/>
              <w:left w:val="nil"/>
              <w:bottom w:val="single" w:sz="4" w:space="0" w:color="auto"/>
              <w:right w:val="double" w:sz="4" w:space="0" w:color="auto"/>
            </w:tcBorders>
            <w:shd w:val="clear" w:color="auto" w:fill="FFFFFF"/>
          </w:tcPr>
          <w:p w:rsidR="008939E0" w:rsidRPr="008939E0" w:rsidRDefault="008939E0" w:rsidP="008939E0">
            <w:pPr>
              <w:spacing w:line="264" w:lineRule="auto"/>
              <w:jc w:val="center"/>
              <w:rPr>
                <w:rFonts w:ascii="Arial" w:hAnsi="Arial" w:cs="Arial"/>
                <w:color w:val="000000"/>
                <w:kern w:val="2"/>
              </w:rPr>
            </w:pPr>
            <w:r w:rsidRPr="008939E0">
              <w:rPr>
                <w:rFonts w:ascii="Arial" w:hAnsi="Arial" w:cs="Arial"/>
                <w:color w:val="000000"/>
                <w:kern w:val="2"/>
              </w:rPr>
              <w:t>Glare (G) Rating Maximum</w:t>
            </w:r>
          </w:p>
        </w:tc>
      </w:tr>
      <w:tr w:rsidR="00671298" w:rsidRPr="008939E0" w:rsidTr="008939E0">
        <w:trPr>
          <w:jc w:val="center"/>
        </w:trPr>
        <w:tc>
          <w:tcPr>
            <w:tcW w:w="1769" w:type="dxa"/>
            <w:vMerge w:val="restart"/>
            <w:tcBorders>
              <w:top w:val="single" w:sz="4" w:space="0" w:color="auto"/>
              <w:left w:val="double" w:sz="4" w:space="0" w:color="auto"/>
              <w:bottom w:val="nil"/>
              <w:right w:val="single" w:sz="8" w:space="0" w:color="000000"/>
            </w:tcBorders>
            <w:shd w:val="clear" w:color="auto" w:fill="FFFFFF"/>
          </w:tcPr>
          <w:p w:rsidR="008939E0" w:rsidRPr="008939E0" w:rsidRDefault="008939E0" w:rsidP="008939E0">
            <w:pPr>
              <w:spacing w:line="264" w:lineRule="auto"/>
              <w:rPr>
                <w:rFonts w:ascii="Arial" w:hAnsi="Arial" w:cs="Arial"/>
                <w:color w:val="000000"/>
                <w:kern w:val="2"/>
              </w:rPr>
            </w:pPr>
            <w:r w:rsidRPr="008939E0">
              <w:rPr>
                <w:rFonts w:ascii="Arial" w:hAnsi="Arial" w:cs="Arial"/>
                <w:color w:val="000000"/>
                <w:kern w:val="2"/>
              </w:rPr>
              <w:t>Non median-mounted</w:t>
            </w:r>
          </w:p>
        </w:tc>
        <w:tc>
          <w:tcPr>
            <w:tcW w:w="1736" w:type="dxa"/>
            <w:tcBorders>
              <w:top w:val="single" w:sz="4" w:space="0" w:color="auto"/>
              <w:left w:val="nil"/>
              <w:bottom w:val="nil"/>
              <w:right w:val="nil"/>
            </w:tcBorders>
            <w:shd w:val="clear" w:color="auto" w:fill="C0C0C0"/>
          </w:tcPr>
          <w:p w:rsidR="008939E0" w:rsidRPr="008939E0" w:rsidRDefault="008939E0" w:rsidP="008939E0">
            <w:pPr>
              <w:spacing w:line="264" w:lineRule="auto"/>
              <w:jc w:val="center"/>
              <w:rPr>
                <w:rFonts w:ascii="Arial" w:hAnsi="Arial" w:cs="Arial"/>
                <w:color w:val="000000"/>
                <w:kern w:val="2"/>
              </w:rPr>
            </w:pPr>
            <w:r w:rsidRPr="008939E0">
              <w:rPr>
                <w:rFonts w:ascii="Arial" w:hAnsi="Arial" w:cs="Arial"/>
                <w:color w:val="000000"/>
                <w:kern w:val="2"/>
              </w:rPr>
              <w:t>Less than 5,000</w:t>
            </w:r>
          </w:p>
        </w:tc>
        <w:tc>
          <w:tcPr>
            <w:tcW w:w="1350" w:type="dxa"/>
            <w:tcBorders>
              <w:top w:val="single" w:sz="4" w:space="0" w:color="auto"/>
              <w:left w:val="nil"/>
              <w:bottom w:val="nil"/>
              <w:right w:val="nil"/>
            </w:tcBorders>
            <w:shd w:val="clear" w:color="auto" w:fill="C0C0C0"/>
          </w:tcPr>
          <w:p w:rsidR="008939E0" w:rsidRPr="008939E0" w:rsidRDefault="008939E0" w:rsidP="008939E0">
            <w:pPr>
              <w:spacing w:line="264" w:lineRule="auto"/>
              <w:jc w:val="center"/>
              <w:rPr>
                <w:rFonts w:ascii="Arial" w:hAnsi="Arial" w:cs="Arial"/>
                <w:color w:val="000000"/>
                <w:kern w:val="2"/>
              </w:rPr>
            </w:pPr>
            <w:r w:rsidRPr="008939E0">
              <w:rPr>
                <w:rFonts w:ascii="Arial" w:hAnsi="Arial" w:cs="Arial"/>
                <w:color w:val="000000"/>
                <w:kern w:val="2"/>
              </w:rPr>
              <w:t>B2</w:t>
            </w:r>
          </w:p>
        </w:tc>
        <w:tc>
          <w:tcPr>
            <w:tcW w:w="1260" w:type="dxa"/>
            <w:tcBorders>
              <w:top w:val="single" w:sz="4" w:space="0" w:color="auto"/>
              <w:left w:val="nil"/>
              <w:bottom w:val="nil"/>
              <w:right w:val="nil"/>
            </w:tcBorders>
            <w:shd w:val="clear" w:color="auto" w:fill="C0C0C0"/>
          </w:tcPr>
          <w:p w:rsidR="008939E0" w:rsidRPr="008939E0" w:rsidRDefault="008939E0" w:rsidP="008939E0">
            <w:pPr>
              <w:spacing w:line="264" w:lineRule="auto"/>
              <w:jc w:val="center"/>
              <w:rPr>
                <w:rFonts w:ascii="Arial" w:hAnsi="Arial" w:cs="Arial"/>
                <w:color w:val="000000"/>
                <w:kern w:val="2"/>
              </w:rPr>
            </w:pPr>
            <w:r w:rsidRPr="008939E0">
              <w:rPr>
                <w:rFonts w:ascii="Arial" w:hAnsi="Arial" w:cs="Arial"/>
                <w:color w:val="000000"/>
                <w:kern w:val="2"/>
              </w:rPr>
              <w:t>U0</w:t>
            </w:r>
          </w:p>
        </w:tc>
        <w:tc>
          <w:tcPr>
            <w:tcW w:w="1170" w:type="dxa"/>
            <w:tcBorders>
              <w:top w:val="single" w:sz="4" w:space="0" w:color="auto"/>
              <w:left w:val="nil"/>
              <w:bottom w:val="nil"/>
              <w:right w:val="double" w:sz="4" w:space="0" w:color="auto"/>
            </w:tcBorders>
            <w:shd w:val="clear" w:color="auto" w:fill="C0C0C0"/>
          </w:tcPr>
          <w:p w:rsidR="008939E0" w:rsidRPr="008939E0" w:rsidRDefault="008939E0" w:rsidP="008939E0">
            <w:pPr>
              <w:spacing w:line="264" w:lineRule="auto"/>
              <w:jc w:val="center"/>
              <w:rPr>
                <w:rFonts w:ascii="Arial" w:hAnsi="Arial" w:cs="Arial"/>
                <w:color w:val="000000"/>
                <w:kern w:val="2"/>
              </w:rPr>
            </w:pPr>
            <w:r w:rsidRPr="008939E0">
              <w:rPr>
                <w:rFonts w:ascii="Arial" w:hAnsi="Arial" w:cs="Arial"/>
                <w:color w:val="000000"/>
                <w:kern w:val="2"/>
              </w:rPr>
              <w:t>G1</w:t>
            </w:r>
          </w:p>
        </w:tc>
      </w:tr>
      <w:tr w:rsidR="00671298" w:rsidRPr="008939E0" w:rsidTr="008939E0">
        <w:trPr>
          <w:jc w:val="center"/>
        </w:trPr>
        <w:tc>
          <w:tcPr>
            <w:tcW w:w="1769" w:type="dxa"/>
            <w:vMerge/>
            <w:tcBorders>
              <w:left w:val="double" w:sz="4" w:space="0" w:color="auto"/>
              <w:bottom w:val="nil"/>
              <w:right w:val="single" w:sz="8" w:space="0" w:color="000000"/>
            </w:tcBorders>
            <w:shd w:val="clear" w:color="auto" w:fill="FFFFFF"/>
          </w:tcPr>
          <w:p w:rsidR="008939E0" w:rsidRPr="008939E0" w:rsidRDefault="008939E0" w:rsidP="008939E0">
            <w:pPr>
              <w:spacing w:line="264" w:lineRule="auto"/>
              <w:jc w:val="center"/>
              <w:rPr>
                <w:rFonts w:ascii="Arial" w:hAnsi="Arial" w:cs="Arial"/>
                <w:color w:val="000000"/>
                <w:kern w:val="2"/>
                <w:highlight w:val="yellow"/>
              </w:rPr>
            </w:pPr>
          </w:p>
        </w:tc>
        <w:tc>
          <w:tcPr>
            <w:tcW w:w="1736" w:type="dxa"/>
            <w:shd w:val="clear" w:color="auto" w:fill="auto"/>
          </w:tcPr>
          <w:p w:rsidR="008939E0" w:rsidRPr="008939E0" w:rsidRDefault="008939E0" w:rsidP="008939E0">
            <w:pPr>
              <w:spacing w:line="264" w:lineRule="auto"/>
              <w:jc w:val="center"/>
              <w:rPr>
                <w:rFonts w:ascii="Arial" w:hAnsi="Arial" w:cs="Arial"/>
                <w:color w:val="000000"/>
                <w:kern w:val="2"/>
              </w:rPr>
            </w:pPr>
            <w:r w:rsidRPr="008939E0">
              <w:rPr>
                <w:rFonts w:ascii="Arial" w:hAnsi="Arial" w:cs="Arial"/>
                <w:color w:val="000000"/>
                <w:kern w:val="2"/>
              </w:rPr>
              <w:t>5,000 – 22,000</w:t>
            </w:r>
          </w:p>
        </w:tc>
        <w:tc>
          <w:tcPr>
            <w:tcW w:w="1350" w:type="dxa"/>
            <w:shd w:val="clear" w:color="auto" w:fill="auto"/>
          </w:tcPr>
          <w:p w:rsidR="008939E0" w:rsidRPr="008939E0" w:rsidRDefault="008939E0" w:rsidP="008939E0">
            <w:pPr>
              <w:spacing w:line="264" w:lineRule="auto"/>
              <w:jc w:val="center"/>
              <w:rPr>
                <w:rFonts w:ascii="Arial" w:hAnsi="Arial" w:cs="Arial"/>
                <w:color w:val="000000"/>
                <w:kern w:val="2"/>
              </w:rPr>
            </w:pPr>
            <w:r w:rsidRPr="008939E0">
              <w:rPr>
                <w:rFonts w:ascii="Arial" w:hAnsi="Arial" w:cs="Arial"/>
                <w:color w:val="000000"/>
                <w:kern w:val="2"/>
              </w:rPr>
              <w:t>B3</w:t>
            </w:r>
          </w:p>
        </w:tc>
        <w:tc>
          <w:tcPr>
            <w:tcW w:w="1260" w:type="dxa"/>
            <w:shd w:val="clear" w:color="auto" w:fill="auto"/>
          </w:tcPr>
          <w:p w:rsidR="008939E0" w:rsidRPr="008939E0" w:rsidRDefault="008939E0" w:rsidP="008939E0">
            <w:pPr>
              <w:jc w:val="center"/>
              <w:rPr>
                <w:rFonts w:ascii="Arial" w:hAnsi="Arial" w:cs="Arial"/>
                <w:color w:val="000000"/>
              </w:rPr>
            </w:pPr>
            <w:r w:rsidRPr="008939E0">
              <w:rPr>
                <w:rFonts w:ascii="Arial" w:hAnsi="Arial" w:cs="Arial"/>
                <w:color w:val="000000"/>
                <w:kern w:val="2"/>
              </w:rPr>
              <w:t>U0</w:t>
            </w:r>
          </w:p>
        </w:tc>
        <w:tc>
          <w:tcPr>
            <w:tcW w:w="1170" w:type="dxa"/>
            <w:tcBorders>
              <w:right w:val="double" w:sz="4" w:space="0" w:color="auto"/>
            </w:tcBorders>
            <w:shd w:val="clear" w:color="auto" w:fill="auto"/>
          </w:tcPr>
          <w:p w:rsidR="008939E0" w:rsidRPr="008939E0" w:rsidRDefault="008939E0" w:rsidP="008939E0">
            <w:pPr>
              <w:spacing w:line="264" w:lineRule="auto"/>
              <w:jc w:val="center"/>
              <w:rPr>
                <w:rFonts w:ascii="Arial" w:hAnsi="Arial" w:cs="Arial"/>
                <w:color w:val="000000"/>
                <w:kern w:val="2"/>
              </w:rPr>
            </w:pPr>
            <w:r w:rsidRPr="008939E0">
              <w:rPr>
                <w:rFonts w:ascii="Arial" w:hAnsi="Arial" w:cs="Arial"/>
                <w:color w:val="000000"/>
                <w:kern w:val="2"/>
              </w:rPr>
              <w:t>G2</w:t>
            </w:r>
          </w:p>
        </w:tc>
      </w:tr>
      <w:tr w:rsidR="00671298" w:rsidRPr="008939E0" w:rsidTr="008939E0">
        <w:trPr>
          <w:jc w:val="center"/>
        </w:trPr>
        <w:tc>
          <w:tcPr>
            <w:tcW w:w="1769" w:type="dxa"/>
            <w:vMerge/>
            <w:tcBorders>
              <w:top w:val="nil"/>
              <w:left w:val="double" w:sz="4" w:space="0" w:color="auto"/>
              <w:bottom w:val="single" w:sz="4" w:space="0" w:color="auto"/>
              <w:right w:val="single" w:sz="8" w:space="0" w:color="000000"/>
            </w:tcBorders>
            <w:shd w:val="clear" w:color="auto" w:fill="FFFFFF"/>
          </w:tcPr>
          <w:p w:rsidR="008939E0" w:rsidRPr="008939E0" w:rsidRDefault="008939E0" w:rsidP="008939E0">
            <w:pPr>
              <w:spacing w:line="264" w:lineRule="auto"/>
              <w:jc w:val="center"/>
              <w:rPr>
                <w:rFonts w:ascii="Arial" w:hAnsi="Arial" w:cs="Arial"/>
                <w:color w:val="000000"/>
                <w:kern w:val="2"/>
                <w:highlight w:val="yellow"/>
              </w:rPr>
            </w:pPr>
          </w:p>
        </w:tc>
        <w:tc>
          <w:tcPr>
            <w:tcW w:w="1736" w:type="dxa"/>
            <w:tcBorders>
              <w:top w:val="nil"/>
              <w:left w:val="nil"/>
              <w:bottom w:val="single" w:sz="4" w:space="0" w:color="auto"/>
              <w:right w:val="nil"/>
            </w:tcBorders>
            <w:shd w:val="clear" w:color="auto" w:fill="C0C0C0"/>
          </w:tcPr>
          <w:p w:rsidR="008939E0" w:rsidRPr="008939E0" w:rsidRDefault="008939E0" w:rsidP="008939E0">
            <w:pPr>
              <w:spacing w:line="264" w:lineRule="auto"/>
              <w:jc w:val="center"/>
              <w:rPr>
                <w:rFonts w:ascii="Arial" w:hAnsi="Arial" w:cs="Arial"/>
                <w:color w:val="000000"/>
                <w:kern w:val="2"/>
              </w:rPr>
            </w:pPr>
            <w:r w:rsidRPr="008939E0">
              <w:rPr>
                <w:rFonts w:ascii="Arial" w:hAnsi="Arial" w:cs="Arial"/>
                <w:color w:val="000000"/>
                <w:kern w:val="2"/>
              </w:rPr>
              <w:t>Above 22,000*</w:t>
            </w:r>
          </w:p>
        </w:tc>
        <w:tc>
          <w:tcPr>
            <w:tcW w:w="1350" w:type="dxa"/>
            <w:tcBorders>
              <w:top w:val="nil"/>
              <w:left w:val="nil"/>
              <w:bottom w:val="single" w:sz="4" w:space="0" w:color="auto"/>
              <w:right w:val="nil"/>
            </w:tcBorders>
            <w:shd w:val="clear" w:color="auto" w:fill="C0C0C0"/>
          </w:tcPr>
          <w:p w:rsidR="008939E0" w:rsidRPr="008939E0" w:rsidRDefault="008939E0" w:rsidP="008939E0">
            <w:pPr>
              <w:spacing w:line="264" w:lineRule="auto"/>
              <w:jc w:val="center"/>
              <w:rPr>
                <w:rFonts w:ascii="Arial" w:hAnsi="Arial" w:cs="Arial"/>
                <w:color w:val="000000"/>
                <w:kern w:val="2"/>
              </w:rPr>
            </w:pPr>
            <w:r w:rsidRPr="008939E0">
              <w:rPr>
                <w:rFonts w:ascii="Arial" w:hAnsi="Arial" w:cs="Arial"/>
                <w:color w:val="000000"/>
                <w:kern w:val="2"/>
              </w:rPr>
              <w:t>B3</w:t>
            </w:r>
          </w:p>
        </w:tc>
        <w:tc>
          <w:tcPr>
            <w:tcW w:w="1260" w:type="dxa"/>
            <w:tcBorders>
              <w:top w:val="nil"/>
              <w:left w:val="nil"/>
              <w:bottom w:val="single" w:sz="4" w:space="0" w:color="auto"/>
              <w:right w:val="nil"/>
            </w:tcBorders>
            <w:shd w:val="clear" w:color="auto" w:fill="C0C0C0"/>
          </w:tcPr>
          <w:p w:rsidR="008939E0" w:rsidRPr="008939E0" w:rsidRDefault="008939E0" w:rsidP="008939E0">
            <w:pPr>
              <w:jc w:val="center"/>
              <w:rPr>
                <w:rFonts w:ascii="Arial" w:hAnsi="Arial" w:cs="Arial"/>
                <w:color w:val="000000"/>
                <w:kern w:val="2"/>
              </w:rPr>
            </w:pPr>
            <w:r w:rsidRPr="008939E0">
              <w:rPr>
                <w:rFonts w:ascii="Arial" w:hAnsi="Arial" w:cs="Arial"/>
                <w:color w:val="000000"/>
                <w:kern w:val="2"/>
              </w:rPr>
              <w:t>U0</w:t>
            </w:r>
          </w:p>
        </w:tc>
        <w:tc>
          <w:tcPr>
            <w:tcW w:w="1170" w:type="dxa"/>
            <w:tcBorders>
              <w:top w:val="nil"/>
              <w:left w:val="nil"/>
              <w:bottom w:val="single" w:sz="4" w:space="0" w:color="auto"/>
              <w:right w:val="double" w:sz="4" w:space="0" w:color="auto"/>
            </w:tcBorders>
            <w:shd w:val="clear" w:color="auto" w:fill="C0C0C0"/>
          </w:tcPr>
          <w:p w:rsidR="008939E0" w:rsidRPr="008939E0" w:rsidRDefault="008939E0" w:rsidP="008939E0">
            <w:pPr>
              <w:spacing w:line="264" w:lineRule="auto"/>
              <w:jc w:val="center"/>
              <w:rPr>
                <w:rFonts w:ascii="Arial" w:hAnsi="Arial" w:cs="Arial"/>
                <w:color w:val="000000"/>
                <w:kern w:val="2"/>
              </w:rPr>
            </w:pPr>
            <w:r w:rsidRPr="008939E0">
              <w:rPr>
                <w:rFonts w:ascii="Arial" w:hAnsi="Arial" w:cs="Arial"/>
                <w:color w:val="000000"/>
                <w:kern w:val="2"/>
              </w:rPr>
              <w:t>G3</w:t>
            </w:r>
          </w:p>
        </w:tc>
      </w:tr>
      <w:tr w:rsidR="00671298" w:rsidRPr="008939E0" w:rsidTr="008939E0">
        <w:trPr>
          <w:jc w:val="center"/>
        </w:trPr>
        <w:tc>
          <w:tcPr>
            <w:tcW w:w="1769" w:type="dxa"/>
            <w:vMerge w:val="restart"/>
            <w:tcBorders>
              <w:top w:val="single" w:sz="4" w:space="0" w:color="auto"/>
              <w:left w:val="double" w:sz="4" w:space="0" w:color="auto"/>
              <w:bottom w:val="nil"/>
              <w:right w:val="single" w:sz="8" w:space="0" w:color="000000"/>
            </w:tcBorders>
            <w:shd w:val="clear" w:color="auto" w:fill="FFFFFF"/>
          </w:tcPr>
          <w:p w:rsidR="008939E0" w:rsidRPr="008939E0" w:rsidRDefault="008939E0" w:rsidP="008939E0">
            <w:pPr>
              <w:spacing w:line="264" w:lineRule="auto"/>
              <w:jc w:val="center"/>
              <w:rPr>
                <w:rFonts w:ascii="Arial" w:hAnsi="Arial" w:cs="Arial"/>
                <w:color w:val="000000"/>
                <w:kern w:val="2"/>
                <w:highlight w:val="yellow"/>
              </w:rPr>
            </w:pPr>
            <w:r w:rsidRPr="008939E0">
              <w:rPr>
                <w:rFonts w:ascii="Arial" w:hAnsi="Arial" w:cs="Arial"/>
                <w:color w:val="000000"/>
                <w:kern w:val="2"/>
              </w:rPr>
              <w:t>Median-mounted</w:t>
            </w:r>
          </w:p>
        </w:tc>
        <w:tc>
          <w:tcPr>
            <w:tcW w:w="1736" w:type="dxa"/>
            <w:tcBorders>
              <w:top w:val="single" w:sz="4" w:space="0" w:color="auto"/>
            </w:tcBorders>
            <w:shd w:val="clear" w:color="auto" w:fill="auto"/>
          </w:tcPr>
          <w:p w:rsidR="008939E0" w:rsidRPr="008939E0" w:rsidRDefault="008939E0" w:rsidP="008939E0">
            <w:pPr>
              <w:spacing w:line="264" w:lineRule="auto"/>
              <w:jc w:val="center"/>
              <w:rPr>
                <w:rFonts w:ascii="Arial" w:hAnsi="Arial" w:cs="Arial"/>
                <w:color w:val="000000"/>
                <w:kern w:val="2"/>
              </w:rPr>
            </w:pPr>
            <w:r w:rsidRPr="008939E0">
              <w:rPr>
                <w:rFonts w:ascii="Arial" w:hAnsi="Arial" w:cs="Arial"/>
                <w:color w:val="000000"/>
                <w:kern w:val="2"/>
              </w:rPr>
              <w:t>Less than 5,000</w:t>
            </w:r>
          </w:p>
        </w:tc>
        <w:tc>
          <w:tcPr>
            <w:tcW w:w="1350" w:type="dxa"/>
            <w:tcBorders>
              <w:top w:val="single" w:sz="4" w:space="0" w:color="auto"/>
            </w:tcBorders>
            <w:shd w:val="clear" w:color="auto" w:fill="auto"/>
          </w:tcPr>
          <w:p w:rsidR="008939E0" w:rsidRPr="008939E0" w:rsidRDefault="008939E0" w:rsidP="008939E0">
            <w:pPr>
              <w:spacing w:line="264" w:lineRule="auto"/>
              <w:jc w:val="center"/>
              <w:rPr>
                <w:rFonts w:ascii="Arial" w:hAnsi="Arial" w:cs="Arial"/>
                <w:color w:val="000000"/>
                <w:kern w:val="2"/>
              </w:rPr>
            </w:pPr>
            <w:r w:rsidRPr="008939E0">
              <w:rPr>
                <w:rFonts w:ascii="Arial" w:hAnsi="Arial" w:cs="Arial"/>
                <w:color w:val="000000"/>
                <w:kern w:val="2"/>
              </w:rPr>
              <w:t>B3</w:t>
            </w:r>
          </w:p>
        </w:tc>
        <w:tc>
          <w:tcPr>
            <w:tcW w:w="1260" w:type="dxa"/>
            <w:tcBorders>
              <w:top w:val="single" w:sz="4" w:space="0" w:color="auto"/>
            </w:tcBorders>
            <w:shd w:val="clear" w:color="auto" w:fill="auto"/>
          </w:tcPr>
          <w:p w:rsidR="008939E0" w:rsidRPr="008939E0" w:rsidRDefault="008939E0" w:rsidP="008939E0">
            <w:pPr>
              <w:jc w:val="center"/>
              <w:rPr>
                <w:rFonts w:ascii="Arial" w:hAnsi="Arial" w:cs="Arial"/>
                <w:color w:val="000000"/>
              </w:rPr>
            </w:pPr>
            <w:r w:rsidRPr="008939E0">
              <w:rPr>
                <w:rFonts w:ascii="Arial" w:hAnsi="Arial" w:cs="Arial"/>
                <w:color w:val="000000"/>
                <w:kern w:val="2"/>
              </w:rPr>
              <w:t>U0</w:t>
            </w:r>
          </w:p>
        </w:tc>
        <w:tc>
          <w:tcPr>
            <w:tcW w:w="1170" w:type="dxa"/>
            <w:tcBorders>
              <w:top w:val="single" w:sz="4" w:space="0" w:color="auto"/>
              <w:right w:val="double" w:sz="4" w:space="0" w:color="auto"/>
            </w:tcBorders>
            <w:shd w:val="clear" w:color="auto" w:fill="auto"/>
          </w:tcPr>
          <w:p w:rsidR="008939E0" w:rsidRPr="008939E0" w:rsidRDefault="008939E0" w:rsidP="008939E0">
            <w:pPr>
              <w:spacing w:line="264" w:lineRule="auto"/>
              <w:jc w:val="center"/>
              <w:rPr>
                <w:rFonts w:ascii="Arial" w:hAnsi="Arial" w:cs="Arial"/>
                <w:color w:val="000000"/>
                <w:kern w:val="2"/>
              </w:rPr>
            </w:pPr>
            <w:r w:rsidRPr="008939E0">
              <w:rPr>
                <w:rFonts w:ascii="Arial" w:hAnsi="Arial" w:cs="Arial"/>
                <w:color w:val="000000"/>
                <w:kern w:val="2"/>
              </w:rPr>
              <w:t>G1</w:t>
            </w:r>
          </w:p>
        </w:tc>
      </w:tr>
      <w:tr w:rsidR="00671298" w:rsidRPr="008939E0" w:rsidTr="008939E0">
        <w:trPr>
          <w:jc w:val="center"/>
        </w:trPr>
        <w:tc>
          <w:tcPr>
            <w:tcW w:w="1769" w:type="dxa"/>
            <w:vMerge/>
            <w:tcBorders>
              <w:top w:val="nil"/>
              <w:left w:val="double" w:sz="4" w:space="0" w:color="auto"/>
              <w:bottom w:val="nil"/>
              <w:right w:val="single" w:sz="8" w:space="0" w:color="000000"/>
            </w:tcBorders>
            <w:shd w:val="clear" w:color="auto" w:fill="FFFFFF"/>
          </w:tcPr>
          <w:p w:rsidR="008939E0" w:rsidRPr="008939E0" w:rsidRDefault="008939E0" w:rsidP="008939E0">
            <w:pPr>
              <w:spacing w:line="264" w:lineRule="auto"/>
              <w:jc w:val="center"/>
              <w:rPr>
                <w:rFonts w:ascii="Arial" w:hAnsi="Arial" w:cs="Arial"/>
                <w:color w:val="000000"/>
                <w:kern w:val="2"/>
                <w:highlight w:val="yellow"/>
              </w:rPr>
            </w:pPr>
          </w:p>
        </w:tc>
        <w:tc>
          <w:tcPr>
            <w:tcW w:w="1736" w:type="dxa"/>
            <w:tcBorders>
              <w:top w:val="nil"/>
              <w:left w:val="nil"/>
              <w:bottom w:val="nil"/>
              <w:right w:val="nil"/>
            </w:tcBorders>
            <w:shd w:val="clear" w:color="auto" w:fill="C0C0C0"/>
          </w:tcPr>
          <w:p w:rsidR="008939E0" w:rsidRPr="008939E0" w:rsidRDefault="008939E0" w:rsidP="008939E0">
            <w:pPr>
              <w:spacing w:line="264" w:lineRule="auto"/>
              <w:jc w:val="center"/>
              <w:rPr>
                <w:rFonts w:ascii="Arial" w:hAnsi="Arial" w:cs="Arial"/>
                <w:color w:val="000000"/>
                <w:kern w:val="2"/>
              </w:rPr>
            </w:pPr>
            <w:r w:rsidRPr="008939E0">
              <w:rPr>
                <w:rFonts w:ascii="Arial" w:hAnsi="Arial" w:cs="Arial"/>
                <w:color w:val="000000"/>
                <w:kern w:val="2"/>
              </w:rPr>
              <w:t>5,000 – 22,000</w:t>
            </w:r>
          </w:p>
        </w:tc>
        <w:tc>
          <w:tcPr>
            <w:tcW w:w="1350" w:type="dxa"/>
            <w:tcBorders>
              <w:top w:val="nil"/>
              <w:left w:val="nil"/>
              <w:bottom w:val="nil"/>
              <w:right w:val="nil"/>
            </w:tcBorders>
            <w:shd w:val="clear" w:color="auto" w:fill="C0C0C0"/>
          </w:tcPr>
          <w:p w:rsidR="008939E0" w:rsidRPr="008939E0" w:rsidRDefault="008939E0" w:rsidP="008939E0">
            <w:pPr>
              <w:spacing w:line="264" w:lineRule="auto"/>
              <w:jc w:val="center"/>
              <w:rPr>
                <w:rFonts w:ascii="Arial" w:hAnsi="Arial" w:cs="Arial"/>
                <w:color w:val="000000"/>
                <w:kern w:val="2"/>
              </w:rPr>
            </w:pPr>
            <w:r w:rsidRPr="008939E0">
              <w:rPr>
                <w:rFonts w:ascii="Arial" w:hAnsi="Arial" w:cs="Arial"/>
                <w:color w:val="000000"/>
                <w:kern w:val="2"/>
              </w:rPr>
              <w:t>B4</w:t>
            </w:r>
          </w:p>
        </w:tc>
        <w:tc>
          <w:tcPr>
            <w:tcW w:w="1260" w:type="dxa"/>
            <w:tcBorders>
              <w:top w:val="nil"/>
              <w:left w:val="nil"/>
              <w:bottom w:val="nil"/>
              <w:right w:val="nil"/>
            </w:tcBorders>
            <w:shd w:val="clear" w:color="auto" w:fill="C0C0C0"/>
          </w:tcPr>
          <w:p w:rsidR="008939E0" w:rsidRPr="008939E0" w:rsidRDefault="008939E0" w:rsidP="008939E0">
            <w:pPr>
              <w:jc w:val="center"/>
              <w:rPr>
                <w:rFonts w:ascii="Arial" w:hAnsi="Arial" w:cs="Arial"/>
                <w:color w:val="000000"/>
              </w:rPr>
            </w:pPr>
            <w:r w:rsidRPr="008939E0">
              <w:rPr>
                <w:rFonts w:ascii="Arial" w:hAnsi="Arial" w:cs="Arial"/>
                <w:color w:val="000000"/>
                <w:kern w:val="2"/>
              </w:rPr>
              <w:t>U0</w:t>
            </w:r>
          </w:p>
        </w:tc>
        <w:tc>
          <w:tcPr>
            <w:tcW w:w="1170" w:type="dxa"/>
            <w:tcBorders>
              <w:top w:val="nil"/>
              <w:left w:val="nil"/>
              <w:bottom w:val="nil"/>
              <w:right w:val="double" w:sz="4" w:space="0" w:color="auto"/>
            </w:tcBorders>
            <w:shd w:val="clear" w:color="auto" w:fill="C0C0C0"/>
          </w:tcPr>
          <w:p w:rsidR="008939E0" w:rsidRPr="008939E0" w:rsidRDefault="008939E0" w:rsidP="008939E0">
            <w:pPr>
              <w:spacing w:line="264" w:lineRule="auto"/>
              <w:jc w:val="center"/>
              <w:rPr>
                <w:rFonts w:ascii="Arial" w:hAnsi="Arial" w:cs="Arial"/>
                <w:color w:val="000000"/>
                <w:kern w:val="2"/>
              </w:rPr>
            </w:pPr>
            <w:r w:rsidRPr="008939E0">
              <w:rPr>
                <w:rFonts w:ascii="Arial" w:hAnsi="Arial" w:cs="Arial"/>
                <w:color w:val="000000"/>
                <w:kern w:val="2"/>
              </w:rPr>
              <w:t>G2</w:t>
            </w:r>
          </w:p>
        </w:tc>
      </w:tr>
      <w:tr w:rsidR="00671298" w:rsidRPr="008939E0" w:rsidTr="008939E0">
        <w:trPr>
          <w:jc w:val="center"/>
        </w:trPr>
        <w:tc>
          <w:tcPr>
            <w:tcW w:w="1769" w:type="dxa"/>
            <w:vMerge/>
            <w:tcBorders>
              <w:left w:val="double" w:sz="4" w:space="0" w:color="auto"/>
              <w:bottom w:val="nil"/>
              <w:right w:val="single" w:sz="8" w:space="0" w:color="000000"/>
            </w:tcBorders>
            <w:shd w:val="clear" w:color="auto" w:fill="FFFFFF"/>
          </w:tcPr>
          <w:p w:rsidR="008939E0" w:rsidRPr="008939E0" w:rsidRDefault="008939E0" w:rsidP="008939E0">
            <w:pPr>
              <w:spacing w:line="264" w:lineRule="auto"/>
              <w:jc w:val="center"/>
              <w:rPr>
                <w:rFonts w:ascii="Arial" w:hAnsi="Arial" w:cs="Arial"/>
                <w:color w:val="000000"/>
                <w:kern w:val="2"/>
                <w:highlight w:val="yellow"/>
              </w:rPr>
            </w:pPr>
          </w:p>
        </w:tc>
        <w:tc>
          <w:tcPr>
            <w:tcW w:w="1736" w:type="dxa"/>
            <w:shd w:val="clear" w:color="auto" w:fill="auto"/>
          </w:tcPr>
          <w:p w:rsidR="008939E0" w:rsidRPr="008939E0" w:rsidRDefault="008939E0" w:rsidP="008939E0">
            <w:pPr>
              <w:spacing w:line="264" w:lineRule="auto"/>
              <w:jc w:val="center"/>
              <w:rPr>
                <w:rFonts w:ascii="Arial" w:hAnsi="Arial" w:cs="Arial"/>
                <w:color w:val="000000"/>
                <w:kern w:val="2"/>
              </w:rPr>
            </w:pPr>
            <w:r w:rsidRPr="008939E0">
              <w:rPr>
                <w:rFonts w:ascii="Arial" w:hAnsi="Arial" w:cs="Arial"/>
                <w:color w:val="000000"/>
                <w:kern w:val="2"/>
              </w:rPr>
              <w:t>Above 22,000*</w:t>
            </w:r>
          </w:p>
        </w:tc>
        <w:tc>
          <w:tcPr>
            <w:tcW w:w="1350" w:type="dxa"/>
            <w:shd w:val="clear" w:color="auto" w:fill="auto"/>
          </w:tcPr>
          <w:p w:rsidR="008939E0" w:rsidRPr="008939E0" w:rsidRDefault="008939E0" w:rsidP="008939E0">
            <w:pPr>
              <w:spacing w:line="264" w:lineRule="auto"/>
              <w:jc w:val="center"/>
              <w:rPr>
                <w:rFonts w:ascii="Arial" w:hAnsi="Arial" w:cs="Arial"/>
                <w:color w:val="000000"/>
                <w:kern w:val="2"/>
              </w:rPr>
            </w:pPr>
            <w:r w:rsidRPr="008939E0">
              <w:rPr>
                <w:rFonts w:ascii="Arial" w:hAnsi="Arial" w:cs="Arial"/>
                <w:color w:val="000000"/>
                <w:kern w:val="2"/>
              </w:rPr>
              <w:t>B4</w:t>
            </w:r>
          </w:p>
        </w:tc>
        <w:tc>
          <w:tcPr>
            <w:tcW w:w="1260" w:type="dxa"/>
            <w:shd w:val="clear" w:color="auto" w:fill="auto"/>
          </w:tcPr>
          <w:p w:rsidR="008939E0" w:rsidRPr="008939E0" w:rsidRDefault="008939E0" w:rsidP="008939E0">
            <w:pPr>
              <w:jc w:val="center"/>
              <w:rPr>
                <w:rFonts w:ascii="Arial" w:hAnsi="Arial" w:cs="Arial"/>
                <w:color w:val="000000"/>
                <w:kern w:val="2"/>
              </w:rPr>
            </w:pPr>
            <w:r w:rsidRPr="008939E0">
              <w:rPr>
                <w:rFonts w:ascii="Arial" w:hAnsi="Arial" w:cs="Arial"/>
                <w:color w:val="000000"/>
                <w:kern w:val="2"/>
              </w:rPr>
              <w:t>U0</w:t>
            </w:r>
          </w:p>
        </w:tc>
        <w:tc>
          <w:tcPr>
            <w:tcW w:w="1170" w:type="dxa"/>
            <w:tcBorders>
              <w:right w:val="double" w:sz="4" w:space="0" w:color="auto"/>
            </w:tcBorders>
            <w:shd w:val="clear" w:color="auto" w:fill="auto"/>
          </w:tcPr>
          <w:p w:rsidR="008939E0" w:rsidRPr="008939E0" w:rsidRDefault="008939E0" w:rsidP="008939E0">
            <w:pPr>
              <w:spacing w:line="264" w:lineRule="auto"/>
              <w:jc w:val="center"/>
              <w:rPr>
                <w:rFonts w:ascii="Arial" w:hAnsi="Arial" w:cs="Arial"/>
                <w:color w:val="000000"/>
                <w:kern w:val="2"/>
              </w:rPr>
            </w:pPr>
            <w:r w:rsidRPr="008939E0">
              <w:rPr>
                <w:rFonts w:ascii="Arial" w:hAnsi="Arial" w:cs="Arial"/>
                <w:color w:val="000000"/>
                <w:kern w:val="2"/>
              </w:rPr>
              <w:t>G3</w:t>
            </w:r>
          </w:p>
        </w:tc>
      </w:tr>
      <w:tr w:rsidR="00671298" w:rsidRPr="008939E0" w:rsidTr="008939E0">
        <w:trPr>
          <w:jc w:val="center"/>
        </w:trPr>
        <w:tc>
          <w:tcPr>
            <w:tcW w:w="1769" w:type="dxa"/>
            <w:tcBorders>
              <w:top w:val="nil"/>
              <w:left w:val="double" w:sz="4" w:space="0" w:color="auto"/>
              <w:bottom w:val="double" w:sz="4" w:space="0" w:color="auto"/>
              <w:right w:val="single" w:sz="8" w:space="0" w:color="000000"/>
            </w:tcBorders>
            <w:shd w:val="clear" w:color="auto" w:fill="FFFFFF"/>
          </w:tcPr>
          <w:p w:rsidR="008939E0" w:rsidRPr="008939E0" w:rsidRDefault="008939E0" w:rsidP="008939E0">
            <w:pPr>
              <w:spacing w:line="264" w:lineRule="auto"/>
              <w:jc w:val="center"/>
              <w:rPr>
                <w:rFonts w:ascii="Arial" w:hAnsi="Arial" w:cs="Arial"/>
                <w:color w:val="000000"/>
                <w:kern w:val="2"/>
                <w:highlight w:val="yellow"/>
              </w:rPr>
            </w:pPr>
          </w:p>
        </w:tc>
        <w:tc>
          <w:tcPr>
            <w:tcW w:w="5516" w:type="dxa"/>
            <w:gridSpan w:val="4"/>
            <w:tcBorders>
              <w:top w:val="nil"/>
              <w:left w:val="nil"/>
              <w:bottom w:val="double" w:sz="4" w:space="0" w:color="auto"/>
              <w:right w:val="double" w:sz="4" w:space="0" w:color="auto"/>
            </w:tcBorders>
            <w:shd w:val="clear" w:color="auto" w:fill="C0C0C0"/>
          </w:tcPr>
          <w:p w:rsidR="008939E0" w:rsidRPr="008939E0" w:rsidRDefault="008939E0" w:rsidP="008939E0">
            <w:pPr>
              <w:spacing w:line="264" w:lineRule="auto"/>
              <w:jc w:val="center"/>
              <w:rPr>
                <w:rFonts w:ascii="Arial" w:hAnsi="Arial" w:cs="Arial"/>
                <w:color w:val="000000"/>
                <w:kern w:val="2"/>
              </w:rPr>
            </w:pPr>
            <w:r w:rsidRPr="008939E0">
              <w:rPr>
                <w:rFonts w:ascii="Arial" w:hAnsi="Arial" w:cs="Arial"/>
                <w:color w:val="000000"/>
                <w:kern w:val="2"/>
              </w:rPr>
              <w:t>*By special application only.</w:t>
            </w:r>
          </w:p>
        </w:tc>
      </w:tr>
    </w:tbl>
    <w:p w:rsidR="008939E0" w:rsidRPr="008939E0" w:rsidRDefault="008939E0" w:rsidP="0035537F">
      <w:pPr>
        <w:spacing w:line="264" w:lineRule="auto"/>
        <w:ind w:left="1080" w:hanging="360"/>
        <w:rPr>
          <w:rFonts w:ascii="Arial" w:hAnsi="Arial" w:cs="Arial"/>
        </w:rPr>
      </w:pPr>
    </w:p>
    <w:p w:rsidR="008939E0" w:rsidRPr="008939E0" w:rsidRDefault="008939E0" w:rsidP="0035537F">
      <w:pPr>
        <w:spacing w:line="264" w:lineRule="auto"/>
        <w:ind w:left="1080" w:hanging="360"/>
        <w:rPr>
          <w:rFonts w:ascii="Arial" w:hAnsi="Arial" w:cs="Arial"/>
        </w:rPr>
      </w:pPr>
    </w:p>
    <w:p w:rsidR="008939E0" w:rsidRPr="008939E0" w:rsidRDefault="008939E0" w:rsidP="008660B2">
      <w:pPr>
        <w:spacing w:line="264" w:lineRule="auto"/>
        <w:ind w:left="360" w:hanging="360"/>
        <w:rPr>
          <w:rFonts w:ascii="Arial" w:hAnsi="Arial" w:cs="Arial"/>
        </w:rPr>
      </w:pPr>
      <w:r w:rsidRPr="008939E0">
        <w:rPr>
          <w:rFonts w:ascii="Arial" w:hAnsi="Arial" w:cs="Arial"/>
        </w:rPr>
        <w:t>4.</w:t>
      </w:r>
      <w:r w:rsidRPr="008939E0">
        <w:rPr>
          <w:rFonts w:ascii="Arial" w:hAnsi="Arial" w:cs="Arial"/>
        </w:rPr>
        <w:tab/>
        <w:t>Electrical Components. All components shall be Underwriters Laboratory (UL) listed for wet locations or by an Occupational Safety &amp; Health Administration Nationally Recognized Testing Laboratories (OSHA NRTL). Luminaires shall operate from 120 to 277 VAC as specified on the plans or adaptable to the type of power distribution system to be used. All internal wiring and quick disconnects shall be rated for at least 600 VAC and insulated for 302°F. The dimmable driver shall be easily removable from the luminaire housing without the use of tools. The following components shall be in accordance with corresponding sections of ANSI C136.37:</w:t>
      </w:r>
    </w:p>
    <w:p w:rsidR="008939E0" w:rsidRPr="008939E0" w:rsidRDefault="008939E0" w:rsidP="008660B2">
      <w:pPr>
        <w:pStyle w:val="CM15"/>
        <w:numPr>
          <w:ilvl w:val="0"/>
          <w:numId w:val="21"/>
        </w:numPr>
        <w:jc w:val="both"/>
        <w:rPr>
          <w:rFonts w:ascii="Arial" w:hAnsi="Arial" w:cs="Arial"/>
          <w:color w:val="000000"/>
          <w:sz w:val="20"/>
          <w:szCs w:val="20"/>
        </w:rPr>
      </w:pPr>
      <w:r w:rsidRPr="008939E0">
        <w:rPr>
          <w:rFonts w:ascii="Arial" w:hAnsi="Arial" w:cs="Arial"/>
          <w:color w:val="000000"/>
          <w:sz w:val="20"/>
          <w:szCs w:val="20"/>
        </w:rPr>
        <w:t xml:space="preserve">Wiring and grounding. </w:t>
      </w:r>
    </w:p>
    <w:p w:rsidR="008939E0" w:rsidRPr="008939E0" w:rsidRDefault="008939E0" w:rsidP="008660B2">
      <w:pPr>
        <w:pStyle w:val="CM15"/>
        <w:numPr>
          <w:ilvl w:val="0"/>
          <w:numId w:val="21"/>
        </w:numPr>
        <w:jc w:val="both"/>
        <w:rPr>
          <w:rFonts w:ascii="Arial" w:hAnsi="Arial" w:cs="Arial"/>
          <w:sz w:val="20"/>
          <w:szCs w:val="20"/>
        </w:rPr>
      </w:pPr>
      <w:r w:rsidRPr="008939E0">
        <w:rPr>
          <w:rFonts w:ascii="Arial" w:hAnsi="Arial" w:cs="Arial"/>
          <w:color w:val="000000"/>
          <w:sz w:val="20"/>
          <w:szCs w:val="20"/>
        </w:rPr>
        <w:t xml:space="preserve">Terminal blocks for incoming AC lines. </w:t>
      </w:r>
    </w:p>
    <w:p w:rsidR="008939E0" w:rsidRPr="008939E0" w:rsidRDefault="008939E0" w:rsidP="008660B2">
      <w:pPr>
        <w:pStyle w:val="CM15"/>
        <w:numPr>
          <w:ilvl w:val="0"/>
          <w:numId w:val="21"/>
        </w:numPr>
        <w:jc w:val="both"/>
        <w:rPr>
          <w:rFonts w:ascii="Arial" w:hAnsi="Arial" w:cs="Arial"/>
          <w:sz w:val="20"/>
          <w:szCs w:val="20"/>
        </w:rPr>
      </w:pPr>
      <w:proofErr w:type="spellStart"/>
      <w:r w:rsidRPr="008939E0">
        <w:rPr>
          <w:rFonts w:ascii="Arial" w:hAnsi="Arial" w:cs="Arial"/>
          <w:color w:val="000000"/>
          <w:sz w:val="20"/>
          <w:szCs w:val="20"/>
        </w:rPr>
        <w:t>Photocontrol</w:t>
      </w:r>
      <w:proofErr w:type="spellEnd"/>
      <w:r w:rsidRPr="008939E0">
        <w:rPr>
          <w:rFonts w:ascii="Arial" w:hAnsi="Arial" w:cs="Arial"/>
          <w:color w:val="000000"/>
          <w:sz w:val="20"/>
          <w:szCs w:val="20"/>
        </w:rPr>
        <w:t xml:space="preserve"> receptacle.</w:t>
      </w:r>
    </w:p>
    <w:p w:rsidR="008939E0" w:rsidRPr="008939E0" w:rsidRDefault="008939E0" w:rsidP="008660B2">
      <w:pPr>
        <w:pStyle w:val="CM15"/>
        <w:numPr>
          <w:ilvl w:val="0"/>
          <w:numId w:val="21"/>
        </w:numPr>
        <w:jc w:val="both"/>
        <w:rPr>
          <w:rFonts w:ascii="Arial" w:hAnsi="Arial" w:cs="Arial"/>
          <w:sz w:val="20"/>
          <w:szCs w:val="20"/>
        </w:rPr>
      </w:pPr>
      <w:r w:rsidRPr="008939E0">
        <w:rPr>
          <w:rFonts w:ascii="Arial" w:hAnsi="Arial" w:cs="Arial"/>
          <w:color w:val="000000"/>
          <w:sz w:val="20"/>
          <w:szCs w:val="20"/>
        </w:rPr>
        <w:t xml:space="preserve">Latching and hinging </w:t>
      </w:r>
    </w:p>
    <w:p w:rsidR="008939E0" w:rsidRPr="008939E0" w:rsidRDefault="003340E0" w:rsidP="00101F33">
      <w:pPr>
        <w:rPr>
          <w:rFonts w:ascii="Arial" w:hAnsi="Arial" w:cs="Arial"/>
          <w:kern w:val="2"/>
        </w:rPr>
      </w:pPr>
      <w:r>
        <w:rPr>
          <w:rFonts w:ascii="Arial" w:hAnsi="Arial" w:cs="Arial"/>
          <w:kern w:val="2"/>
        </w:rPr>
        <w:br w:type="page"/>
      </w:r>
    </w:p>
    <w:p w:rsidR="008939E0" w:rsidRDefault="008939E0" w:rsidP="00101F33">
      <w:pPr>
        <w:rPr>
          <w:rFonts w:ascii="Arial" w:hAnsi="Arial" w:cs="Arial"/>
          <w:kern w:val="2"/>
        </w:rPr>
      </w:pPr>
      <w:r w:rsidRPr="008939E0">
        <w:rPr>
          <w:rFonts w:ascii="Arial" w:hAnsi="Arial" w:cs="Arial"/>
          <w:kern w:val="2"/>
        </w:rPr>
        <w:t>In subsection 715.04, delete (b) through (e) and replace with the following:</w:t>
      </w:r>
    </w:p>
    <w:p w:rsidR="008939E0" w:rsidRPr="008939E0" w:rsidRDefault="008939E0" w:rsidP="00084F61">
      <w:pPr>
        <w:pStyle w:val="NoSpacing"/>
        <w:ind w:left="360"/>
        <w:jc w:val="center"/>
        <w:rPr>
          <w:rFonts w:ascii="Arial" w:hAnsi="Arial" w:cs="Arial"/>
          <w:kern w:val="2"/>
        </w:rPr>
      </w:pPr>
    </w:p>
    <w:p w:rsidR="008939E0" w:rsidRDefault="008939E0" w:rsidP="0035537F">
      <w:pPr>
        <w:adjustRightInd w:val="0"/>
        <w:ind w:left="360" w:hanging="360"/>
        <w:rPr>
          <w:rFonts w:ascii="Arial" w:eastAsia="TimesNewRomanPS" w:hAnsi="Arial" w:cs="Arial"/>
        </w:rPr>
      </w:pPr>
      <w:r w:rsidRPr="008939E0">
        <w:rPr>
          <w:rFonts w:ascii="Arial" w:eastAsia="TimesNewRomanPS" w:hAnsi="Arial" w:cs="Arial"/>
        </w:rPr>
        <w:t>(b)</w:t>
      </w:r>
      <w:r w:rsidRPr="008939E0">
        <w:rPr>
          <w:rFonts w:ascii="Arial" w:eastAsia="TimesNewRomanPS" w:hAnsi="Arial" w:cs="Arial"/>
        </w:rPr>
        <w:tab/>
      </w:r>
      <w:r w:rsidRPr="008939E0">
        <w:rPr>
          <w:rFonts w:ascii="Arial" w:eastAsia="TimesNewRomanPS" w:hAnsi="Arial" w:cs="Arial"/>
          <w:i/>
        </w:rPr>
        <w:t>Roadway</w:t>
      </w:r>
      <w:r w:rsidRPr="008939E0">
        <w:rPr>
          <w:rFonts w:ascii="Arial" w:eastAsia="TimesNewRomanPS" w:hAnsi="Arial" w:cs="Arial"/>
        </w:rPr>
        <w:t xml:space="preserve"> </w:t>
      </w:r>
      <w:r w:rsidRPr="008939E0">
        <w:rPr>
          <w:rFonts w:ascii="Arial" w:eastAsia="TimesNewRomanPS" w:hAnsi="Arial" w:cs="Arial"/>
          <w:i/>
        </w:rPr>
        <w:t>Luminaires</w:t>
      </w:r>
      <w:r w:rsidRPr="008939E0">
        <w:rPr>
          <w:rFonts w:ascii="Arial" w:eastAsia="TimesNewRomanPS" w:hAnsi="Arial" w:cs="Arial"/>
        </w:rPr>
        <w:t>. Roadway luminaires shall be LED type with integral driver, flat lens, aluminum housing, and be UL Listed for wet locations. All luminaires for the project shall be the same type and design unless the plans specify otherwise.</w:t>
      </w:r>
    </w:p>
    <w:p w:rsidR="008939E0" w:rsidRPr="008939E0" w:rsidRDefault="008939E0" w:rsidP="0035537F">
      <w:pPr>
        <w:adjustRightInd w:val="0"/>
        <w:ind w:left="360" w:hanging="360"/>
        <w:rPr>
          <w:rFonts w:ascii="Arial" w:eastAsia="TimesNewRomanPS" w:hAnsi="Arial" w:cs="Arial"/>
        </w:rPr>
      </w:pPr>
    </w:p>
    <w:p w:rsidR="008939E0" w:rsidRPr="008939E0" w:rsidRDefault="008939E0" w:rsidP="003652CE">
      <w:pPr>
        <w:numPr>
          <w:ilvl w:val="0"/>
          <w:numId w:val="15"/>
        </w:numPr>
        <w:spacing w:line="264" w:lineRule="auto"/>
        <w:ind w:left="720"/>
        <w:rPr>
          <w:rFonts w:ascii="Arial" w:hAnsi="Arial" w:cs="Arial"/>
          <w:kern w:val="2"/>
        </w:rPr>
      </w:pPr>
      <w:r w:rsidRPr="008939E0">
        <w:rPr>
          <w:rFonts w:ascii="Arial" w:hAnsi="Arial" w:cs="Arial"/>
          <w:kern w:val="2"/>
        </w:rPr>
        <w:t xml:space="preserve">The luminaire and all components shall be UL or </w:t>
      </w:r>
      <w:proofErr w:type="spellStart"/>
      <w:r w:rsidRPr="008939E0">
        <w:rPr>
          <w:rFonts w:ascii="Arial" w:hAnsi="Arial" w:cs="Arial"/>
          <w:kern w:val="2"/>
        </w:rPr>
        <w:t>Intertek</w:t>
      </w:r>
      <w:proofErr w:type="spellEnd"/>
      <w:r w:rsidRPr="008939E0">
        <w:rPr>
          <w:rFonts w:ascii="Arial" w:hAnsi="Arial" w:cs="Arial"/>
          <w:kern w:val="2"/>
        </w:rPr>
        <w:t xml:space="preserve"> Testing Services (ETL) listed for Wet Location and shall have minimum Ingress Protection Rating of IP66.</w:t>
      </w:r>
    </w:p>
    <w:p w:rsidR="008939E0" w:rsidRPr="008939E0" w:rsidRDefault="008939E0" w:rsidP="003652CE">
      <w:pPr>
        <w:numPr>
          <w:ilvl w:val="0"/>
          <w:numId w:val="15"/>
        </w:numPr>
        <w:spacing w:line="264" w:lineRule="auto"/>
        <w:ind w:left="720"/>
        <w:rPr>
          <w:rFonts w:ascii="Arial" w:hAnsi="Arial" w:cs="Arial"/>
          <w:kern w:val="2"/>
        </w:rPr>
      </w:pPr>
      <w:r w:rsidRPr="008939E0">
        <w:rPr>
          <w:rFonts w:ascii="Arial" w:hAnsi="Arial" w:cs="Arial"/>
          <w:kern w:val="2"/>
        </w:rPr>
        <w:t>Light source shall be comprised of LED modules connected to a non-integrated driver and ready for connection to a production line luminaire. Luminaires utilizing integrated driver LED light sources, screw-based or panel retrofit products shall not be accepted.</w:t>
      </w:r>
    </w:p>
    <w:p w:rsidR="008939E0" w:rsidRPr="008939E0" w:rsidRDefault="008939E0" w:rsidP="003652CE">
      <w:pPr>
        <w:numPr>
          <w:ilvl w:val="0"/>
          <w:numId w:val="15"/>
        </w:numPr>
        <w:spacing w:line="264" w:lineRule="auto"/>
        <w:ind w:left="720"/>
        <w:rPr>
          <w:rFonts w:ascii="Arial" w:hAnsi="Arial" w:cs="Arial"/>
          <w:kern w:val="2"/>
        </w:rPr>
      </w:pPr>
      <w:r w:rsidRPr="008939E0">
        <w:rPr>
          <w:rFonts w:ascii="Arial" w:hAnsi="Arial" w:cs="Arial"/>
          <w:kern w:val="2"/>
        </w:rPr>
        <w:t xml:space="preserve">The luminaire shall have a Type II or III distribution for non-median mounted luminaires, and Type II, III, IV or V for median mounted luminaires. </w:t>
      </w:r>
    </w:p>
    <w:p w:rsidR="008939E0" w:rsidRPr="008939E0" w:rsidRDefault="008939E0" w:rsidP="003652CE">
      <w:pPr>
        <w:numPr>
          <w:ilvl w:val="0"/>
          <w:numId w:val="15"/>
        </w:numPr>
        <w:spacing w:line="264" w:lineRule="auto"/>
        <w:ind w:left="720"/>
        <w:rPr>
          <w:rFonts w:ascii="Arial" w:hAnsi="Arial" w:cs="Arial"/>
          <w:kern w:val="2"/>
        </w:rPr>
      </w:pPr>
      <w:proofErr w:type="spellStart"/>
      <w:r w:rsidRPr="008939E0">
        <w:rPr>
          <w:rFonts w:ascii="Arial" w:hAnsi="Arial" w:cs="Arial"/>
          <w:kern w:val="2"/>
        </w:rPr>
        <w:t>Transmissive</w:t>
      </w:r>
      <w:proofErr w:type="spellEnd"/>
      <w:r w:rsidRPr="008939E0">
        <w:rPr>
          <w:rFonts w:ascii="Arial" w:hAnsi="Arial" w:cs="Arial"/>
          <w:kern w:val="2"/>
        </w:rPr>
        <w:t xml:space="preserve"> optical components shall be applied in accordance with LED manufacturer’s Original Equipment Manufacturer (OEM) design guidelines to ensure suitability for the environment in which the luminaire is installed.</w:t>
      </w:r>
    </w:p>
    <w:p w:rsidR="008939E0" w:rsidRPr="008939E0" w:rsidRDefault="008939E0" w:rsidP="003652CE">
      <w:pPr>
        <w:numPr>
          <w:ilvl w:val="0"/>
          <w:numId w:val="15"/>
        </w:numPr>
        <w:spacing w:line="264" w:lineRule="auto"/>
        <w:ind w:left="720"/>
        <w:rPr>
          <w:rFonts w:ascii="Arial" w:hAnsi="Arial" w:cs="Arial"/>
          <w:kern w:val="2"/>
        </w:rPr>
      </w:pPr>
      <w:r w:rsidRPr="008939E0">
        <w:rPr>
          <w:rFonts w:ascii="Arial" w:hAnsi="Arial" w:cs="Arial"/>
          <w:kern w:val="2"/>
        </w:rPr>
        <w:t xml:space="preserve">Luminaires shall utilize an adjustable </w:t>
      </w:r>
      <w:proofErr w:type="spellStart"/>
      <w:r w:rsidRPr="008939E0">
        <w:rPr>
          <w:rFonts w:ascii="Arial" w:hAnsi="Arial" w:cs="Arial"/>
          <w:kern w:val="2"/>
        </w:rPr>
        <w:t>slipfitter</w:t>
      </w:r>
      <w:proofErr w:type="spellEnd"/>
      <w:r w:rsidRPr="008939E0">
        <w:rPr>
          <w:rFonts w:ascii="Arial" w:hAnsi="Arial" w:cs="Arial"/>
          <w:kern w:val="2"/>
        </w:rPr>
        <w:t xml:space="preserve">-type mounting system for installation on 1.25-inch (1.66-inch </w:t>
      </w:r>
      <w:proofErr w:type="spellStart"/>
      <w:r w:rsidRPr="008939E0">
        <w:rPr>
          <w:rFonts w:ascii="Arial" w:hAnsi="Arial" w:cs="Arial"/>
          <w:kern w:val="2"/>
        </w:rPr>
        <w:t>o.d</w:t>
      </w:r>
      <w:proofErr w:type="spellEnd"/>
      <w:r w:rsidRPr="008939E0">
        <w:rPr>
          <w:rFonts w:ascii="Arial" w:hAnsi="Arial" w:cs="Arial"/>
          <w:kern w:val="2"/>
        </w:rPr>
        <w:t xml:space="preserve">.) to 2-inch (2.375-inch </w:t>
      </w:r>
      <w:proofErr w:type="spellStart"/>
      <w:r w:rsidRPr="008939E0">
        <w:rPr>
          <w:rFonts w:ascii="Arial" w:hAnsi="Arial" w:cs="Arial"/>
          <w:kern w:val="2"/>
        </w:rPr>
        <w:t>o.d</w:t>
      </w:r>
      <w:proofErr w:type="spellEnd"/>
      <w:r w:rsidRPr="008939E0">
        <w:rPr>
          <w:rFonts w:ascii="Arial" w:hAnsi="Arial" w:cs="Arial"/>
          <w:kern w:val="2"/>
        </w:rPr>
        <w:t xml:space="preserve">.) outside diameter pipe </w:t>
      </w:r>
      <w:proofErr w:type="spellStart"/>
      <w:r w:rsidRPr="008939E0">
        <w:rPr>
          <w:rFonts w:ascii="Arial" w:hAnsi="Arial" w:cs="Arial"/>
          <w:kern w:val="2"/>
        </w:rPr>
        <w:t>tenons</w:t>
      </w:r>
      <w:proofErr w:type="spellEnd"/>
      <w:r w:rsidRPr="008939E0">
        <w:rPr>
          <w:rFonts w:ascii="Arial" w:hAnsi="Arial" w:cs="Arial"/>
          <w:kern w:val="2"/>
        </w:rPr>
        <w:t xml:space="preserve">.  </w:t>
      </w:r>
      <w:proofErr w:type="spellStart"/>
      <w:r w:rsidRPr="008939E0">
        <w:rPr>
          <w:rFonts w:ascii="Arial" w:hAnsi="Arial" w:cs="Arial"/>
          <w:kern w:val="2"/>
        </w:rPr>
        <w:t>Slipfitter</w:t>
      </w:r>
      <w:proofErr w:type="spellEnd"/>
      <w:r w:rsidRPr="008939E0">
        <w:rPr>
          <w:rFonts w:ascii="Arial" w:hAnsi="Arial" w:cs="Arial"/>
          <w:kern w:val="2"/>
        </w:rPr>
        <w:t xml:space="preserve"> shall consist of a two-piece clamp and four 9/16-inch hex bolts. </w:t>
      </w:r>
      <w:proofErr w:type="spellStart"/>
      <w:r w:rsidRPr="008939E0">
        <w:rPr>
          <w:rFonts w:ascii="Arial" w:hAnsi="Arial" w:cs="Arial"/>
          <w:kern w:val="2"/>
        </w:rPr>
        <w:t>Slipfitter</w:t>
      </w:r>
      <w:proofErr w:type="spellEnd"/>
      <w:r w:rsidRPr="008939E0">
        <w:rPr>
          <w:rFonts w:ascii="Arial" w:hAnsi="Arial" w:cs="Arial"/>
          <w:kern w:val="2"/>
        </w:rPr>
        <w:t xml:space="preserve"> shall allow for a vertical tilt adjustment of ± 5 percent in order to mount luminaire plumb for a U0 rating.  Luminaires shall be equipped with integrated leveling bubble. </w:t>
      </w:r>
    </w:p>
    <w:p w:rsidR="008939E0" w:rsidRPr="008939E0" w:rsidRDefault="008939E0" w:rsidP="003652CE">
      <w:pPr>
        <w:numPr>
          <w:ilvl w:val="0"/>
          <w:numId w:val="15"/>
        </w:numPr>
        <w:spacing w:line="264" w:lineRule="auto"/>
        <w:ind w:left="720"/>
        <w:rPr>
          <w:rFonts w:ascii="Arial" w:hAnsi="Arial" w:cs="Arial"/>
          <w:kern w:val="2"/>
        </w:rPr>
      </w:pPr>
      <w:r w:rsidRPr="008939E0">
        <w:rPr>
          <w:rFonts w:ascii="Arial" w:hAnsi="Arial" w:cs="Arial"/>
          <w:kern w:val="2"/>
        </w:rPr>
        <w:t>Access to all internal parts requiring replacement shall not require tools (i.e. “tool-less entry”).</w:t>
      </w:r>
    </w:p>
    <w:p w:rsidR="008939E0" w:rsidRPr="008939E0" w:rsidRDefault="008939E0" w:rsidP="003652CE">
      <w:pPr>
        <w:numPr>
          <w:ilvl w:val="0"/>
          <w:numId w:val="15"/>
        </w:numPr>
        <w:spacing w:line="264" w:lineRule="auto"/>
        <w:ind w:left="720"/>
        <w:rPr>
          <w:rFonts w:ascii="Arial" w:hAnsi="Arial" w:cs="Arial"/>
          <w:kern w:val="2"/>
        </w:rPr>
      </w:pPr>
      <w:r w:rsidRPr="008939E0">
        <w:rPr>
          <w:rFonts w:ascii="Arial" w:hAnsi="Arial" w:cs="Arial"/>
          <w:kern w:val="2"/>
        </w:rPr>
        <w:t>The luminaire housing shall be constructed of aluminum alloy.</w:t>
      </w:r>
    </w:p>
    <w:p w:rsidR="008939E0" w:rsidRPr="008939E0" w:rsidRDefault="008939E0" w:rsidP="003652CE">
      <w:pPr>
        <w:numPr>
          <w:ilvl w:val="0"/>
          <w:numId w:val="15"/>
        </w:numPr>
        <w:spacing w:line="264" w:lineRule="auto"/>
        <w:ind w:left="720"/>
        <w:rPr>
          <w:rFonts w:ascii="Arial" w:hAnsi="Arial" w:cs="Arial"/>
          <w:kern w:val="2"/>
        </w:rPr>
      </w:pPr>
      <w:r w:rsidRPr="008939E0">
        <w:rPr>
          <w:rFonts w:ascii="Arial" w:hAnsi="Arial" w:cs="Arial"/>
          <w:kern w:val="2"/>
        </w:rPr>
        <w:t xml:space="preserve">Power Supply/Driver shall be provided in compliance with </w:t>
      </w:r>
      <w:r w:rsidR="003340E0">
        <w:rPr>
          <w:rFonts w:ascii="Arial" w:hAnsi="Arial" w:cs="Arial"/>
          <w:kern w:val="2"/>
        </w:rPr>
        <w:t>sub</w:t>
      </w:r>
      <w:r w:rsidRPr="008939E0">
        <w:rPr>
          <w:rFonts w:ascii="Arial" w:hAnsi="Arial" w:cs="Arial"/>
          <w:kern w:val="2"/>
        </w:rPr>
        <w:t>section 715.05(a).  Driver must be internal and thermally separated from LED compartment.</w:t>
      </w:r>
    </w:p>
    <w:p w:rsidR="00671298" w:rsidRDefault="008939E0" w:rsidP="003652CE">
      <w:pPr>
        <w:numPr>
          <w:ilvl w:val="0"/>
          <w:numId w:val="15"/>
        </w:numPr>
        <w:spacing w:line="264" w:lineRule="auto"/>
        <w:ind w:left="720"/>
        <w:rPr>
          <w:rFonts w:ascii="Arial" w:hAnsi="Arial" w:cs="Arial"/>
          <w:kern w:val="2"/>
        </w:rPr>
      </w:pPr>
      <w:r w:rsidRPr="008939E0">
        <w:rPr>
          <w:rFonts w:ascii="Arial" w:hAnsi="Arial" w:cs="Arial"/>
          <w:kern w:val="2"/>
        </w:rPr>
        <w:t>Dimming photocell receptacle shall conform to (d) below.</w:t>
      </w:r>
    </w:p>
    <w:p w:rsidR="008939E0" w:rsidRPr="00671298" w:rsidRDefault="008939E0" w:rsidP="003652CE">
      <w:pPr>
        <w:numPr>
          <w:ilvl w:val="0"/>
          <w:numId w:val="15"/>
        </w:numPr>
        <w:spacing w:line="264" w:lineRule="auto"/>
        <w:ind w:left="720"/>
        <w:rPr>
          <w:rFonts w:ascii="Arial" w:hAnsi="Arial" w:cs="Arial"/>
          <w:kern w:val="2"/>
        </w:rPr>
      </w:pPr>
      <w:r w:rsidRPr="00671298">
        <w:rPr>
          <w:rFonts w:ascii="Arial" w:hAnsi="Arial" w:cs="Arial"/>
          <w:kern w:val="2"/>
        </w:rPr>
        <w:t xml:space="preserve">Luminaire finish shall be corrosion resistant Super </w:t>
      </w:r>
      <w:proofErr w:type="spellStart"/>
      <w:r w:rsidRPr="00671298">
        <w:rPr>
          <w:rFonts w:ascii="Arial" w:hAnsi="Arial" w:cs="Arial"/>
          <w:kern w:val="2"/>
        </w:rPr>
        <w:t>triglycidyl</w:t>
      </w:r>
      <w:proofErr w:type="spellEnd"/>
      <w:r w:rsidRPr="00671298">
        <w:rPr>
          <w:rFonts w:ascii="Arial" w:hAnsi="Arial" w:cs="Arial"/>
          <w:kern w:val="2"/>
        </w:rPr>
        <w:t xml:space="preserve"> </w:t>
      </w:r>
      <w:proofErr w:type="spellStart"/>
      <w:r w:rsidRPr="00671298">
        <w:rPr>
          <w:rFonts w:ascii="Arial" w:hAnsi="Arial" w:cs="Arial"/>
          <w:kern w:val="2"/>
        </w:rPr>
        <w:t>isocyanurate</w:t>
      </w:r>
      <w:proofErr w:type="spellEnd"/>
      <w:r w:rsidRPr="00671298">
        <w:rPr>
          <w:rFonts w:ascii="Arial" w:hAnsi="Arial" w:cs="Arial"/>
          <w:kern w:val="2"/>
        </w:rPr>
        <w:t xml:space="preserve"> (TGIC) polyester </w:t>
      </w:r>
      <w:proofErr w:type="spellStart"/>
      <w:r w:rsidRPr="00671298">
        <w:rPr>
          <w:rFonts w:ascii="Arial" w:hAnsi="Arial" w:cs="Arial"/>
          <w:kern w:val="2"/>
        </w:rPr>
        <w:t>powdercoat</w:t>
      </w:r>
      <w:proofErr w:type="spellEnd"/>
      <w:r w:rsidRPr="00671298">
        <w:rPr>
          <w:rFonts w:ascii="Arial" w:hAnsi="Arial" w:cs="Arial"/>
          <w:kern w:val="2"/>
        </w:rPr>
        <w:t>. Color shall be gray.</w:t>
      </w:r>
    </w:p>
    <w:p w:rsidR="008939E0" w:rsidRPr="008939E0" w:rsidRDefault="008939E0" w:rsidP="003652CE">
      <w:pPr>
        <w:widowControl w:val="0"/>
        <w:numPr>
          <w:ilvl w:val="1"/>
          <w:numId w:val="16"/>
        </w:numPr>
        <w:autoSpaceDE w:val="0"/>
        <w:autoSpaceDN w:val="0"/>
        <w:ind w:right="-270" w:hanging="1440"/>
        <w:rPr>
          <w:rFonts w:ascii="Arial" w:hAnsi="Arial" w:cs="Arial"/>
        </w:rPr>
      </w:pPr>
      <w:r w:rsidRPr="008939E0">
        <w:rPr>
          <w:rFonts w:ascii="Arial" w:hAnsi="Arial" w:cs="Arial"/>
        </w:rPr>
        <w:t xml:space="preserve">Powder coat: Super TGIC polyester powder coat 2.5 mil nominal thickness. </w:t>
      </w:r>
    </w:p>
    <w:p w:rsidR="008939E0" w:rsidRPr="008939E0" w:rsidRDefault="008939E0" w:rsidP="003652CE">
      <w:pPr>
        <w:widowControl w:val="0"/>
        <w:numPr>
          <w:ilvl w:val="1"/>
          <w:numId w:val="16"/>
        </w:numPr>
        <w:autoSpaceDE w:val="0"/>
        <w:autoSpaceDN w:val="0"/>
        <w:ind w:right="-270" w:hanging="1440"/>
        <w:rPr>
          <w:rFonts w:ascii="Arial" w:hAnsi="Arial" w:cs="Arial"/>
        </w:rPr>
      </w:pPr>
      <w:r w:rsidRPr="008939E0">
        <w:rPr>
          <w:rFonts w:ascii="Arial" w:hAnsi="Arial" w:cs="Arial"/>
        </w:rPr>
        <w:t xml:space="preserve">Finish shall exceed a rating of </w:t>
      </w:r>
      <w:r w:rsidR="003340E0">
        <w:rPr>
          <w:rFonts w:ascii="Arial" w:hAnsi="Arial" w:cs="Arial"/>
        </w:rPr>
        <w:t>6</w:t>
      </w:r>
      <w:r w:rsidRPr="008939E0">
        <w:rPr>
          <w:rFonts w:ascii="Arial" w:hAnsi="Arial" w:cs="Arial"/>
        </w:rPr>
        <w:t xml:space="preserve"> per ASTM D1654 after 1000hrs of testing per ASTM B117. </w:t>
      </w:r>
    </w:p>
    <w:p w:rsidR="008939E0" w:rsidRPr="008939E0" w:rsidRDefault="008939E0" w:rsidP="003652CE">
      <w:pPr>
        <w:widowControl w:val="0"/>
        <w:numPr>
          <w:ilvl w:val="1"/>
          <w:numId w:val="16"/>
        </w:numPr>
        <w:autoSpaceDE w:val="0"/>
        <w:autoSpaceDN w:val="0"/>
        <w:ind w:left="1080" w:right="-270"/>
        <w:rPr>
          <w:rFonts w:ascii="Arial" w:hAnsi="Arial" w:cs="Arial"/>
        </w:rPr>
      </w:pPr>
      <w:r w:rsidRPr="008939E0">
        <w:rPr>
          <w:rFonts w:ascii="Arial" w:hAnsi="Arial" w:cs="Arial"/>
        </w:rPr>
        <w:t xml:space="preserve">The coating shall exhibit no greater than 30% reduction of gloss per ASTM D523, after 500 hours of QUV testing at ASTM G154 Cycle 6. </w:t>
      </w:r>
    </w:p>
    <w:p w:rsidR="008939E0" w:rsidRPr="008939E0" w:rsidRDefault="008939E0" w:rsidP="003652CE">
      <w:pPr>
        <w:numPr>
          <w:ilvl w:val="0"/>
          <w:numId w:val="15"/>
        </w:numPr>
        <w:spacing w:line="264" w:lineRule="auto"/>
        <w:ind w:left="720"/>
        <w:rPr>
          <w:rFonts w:ascii="Arial" w:hAnsi="Arial" w:cs="Arial"/>
          <w:kern w:val="2"/>
        </w:rPr>
      </w:pPr>
      <w:r w:rsidRPr="008939E0">
        <w:rPr>
          <w:rFonts w:ascii="Arial" w:hAnsi="Arial" w:cs="Arial"/>
          <w:kern w:val="2"/>
        </w:rPr>
        <w:t>Effective Projected Area (EPA) for wind-loading calculations shall be no greater than 1.2 square feet.</w:t>
      </w:r>
    </w:p>
    <w:p w:rsidR="008939E0" w:rsidRPr="008939E0" w:rsidRDefault="008939E0" w:rsidP="003652CE">
      <w:pPr>
        <w:numPr>
          <w:ilvl w:val="0"/>
          <w:numId w:val="15"/>
        </w:numPr>
        <w:spacing w:line="264" w:lineRule="auto"/>
        <w:ind w:left="720"/>
        <w:rPr>
          <w:rFonts w:ascii="Arial" w:hAnsi="Arial" w:cs="Arial"/>
          <w:kern w:val="2"/>
        </w:rPr>
      </w:pPr>
      <w:r w:rsidRPr="008939E0">
        <w:rPr>
          <w:rFonts w:ascii="Arial" w:hAnsi="Arial" w:cs="Arial"/>
          <w:kern w:val="2"/>
        </w:rPr>
        <w:t>Luminaire weight shall not exceed 45 pounds.</w:t>
      </w:r>
    </w:p>
    <w:p w:rsidR="008939E0" w:rsidRPr="008939E0" w:rsidRDefault="008939E0" w:rsidP="003652CE">
      <w:pPr>
        <w:numPr>
          <w:ilvl w:val="0"/>
          <w:numId w:val="15"/>
        </w:numPr>
        <w:spacing w:line="264" w:lineRule="auto"/>
        <w:ind w:left="720"/>
        <w:rPr>
          <w:rFonts w:ascii="Arial" w:hAnsi="Arial" w:cs="Arial"/>
          <w:kern w:val="2"/>
        </w:rPr>
      </w:pPr>
      <w:r w:rsidRPr="008939E0">
        <w:rPr>
          <w:rFonts w:ascii="Arial" w:hAnsi="Arial" w:cs="Arial"/>
          <w:kern w:val="2"/>
        </w:rPr>
        <w:t>Luminaire shall be tested in accordance with IES LM79 and TM21 certifying photometric performance and rated life, respectively. LM79 (performance) and TM21 (predicted life at 55</w:t>
      </w:r>
      <w:r w:rsidRPr="008939E0">
        <w:rPr>
          <w:rFonts w:ascii="Arial" w:hAnsi="Arial" w:cs="Arial"/>
          <w:kern w:val="2"/>
          <w:vertAlign w:val="superscript"/>
        </w:rPr>
        <w:t>o</w:t>
      </w:r>
      <w:r w:rsidRPr="008939E0">
        <w:rPr>
          <w:rFonts w:ascii="Arial" w:hAnsi="Arial" w:cs="Arial"/>
          <w:kern w:val="2"/>
        </w:rPr>
        <w:t>C) testing shall both be for the same luminaire’s operating drive current as specified.</w:t>
      </w:r>
    </w:p>
    <w:p w:rsidR="008939E0" w:rsidRPr="008939E0" w:rsidRDefault="008939E0" w:rsidP="003652CE">
      <w:pPr>
        <w:numPr>
          <w:ilvl w:val="0"/>
          <w:numId w:val="15"/>
        </w:numPr>
        <w:spacing w:line="264" w:lineRule="auto"/>
        <w:ind w:left="720"/>
        <w:rPr>
          <w:rFonts w:ascii="Arial" w:hAnsi="Arial" w:cs="Arial"/>
          <w:kern w:val="2"/>
        </w:rPr>
      </w:pPr>
      <w:r w:rsidRPr="008939E0">
        <w:rPr>
          <w:rFonts w:ascii="Arial" w:hAnsi="Arial" w:cs="Arial"/>
          <w:kern w:val="2"/>
        </w:rPr>
        <w:t xml:space="preserve">Luminaire shall have a maximum Backlight rating as shown in Table 715-1, an </w:t>
      </w:r>
      <w:proofErr w:type="spellStart"/>
      <w:r w:rsidRPr="008939E0">
        <w:rPr>
          <w:rFonts w:ascii="Arial" w:hAnsi="Arial" w:cs="Arial"/>
          <w:kern w:val="2"/>
        </w:rPr>
        <w:t>Uplight</w:t>
      </w:r>
      <w:proofErr w:type="spellEnd"/>
      <w:r w:rsidRPr="008939E0">
        <w:rPr>
          <w:rFonts w:ascii="Arial" w:hAnsi="Arial" w:cs="Arial"/>
          <w:kern w:val="2"/>
        </w:rPr>
        <w:t xml:space="preserve"> rating of U0, and a maximum Glare rating as shown in Table 715-1.</w:t>
      </w:r>
    </w:p>
    <w:p w:rsidR="008939E0" w:rsidRPr="008939E0" w:rsidRDefault="008939E0" w:rsidP="003652CE">
      <w:pPr>
        <w:numPr>
          <w:ilvl w:val="0"/>
          <w:numId w:val="15"/>
        </w:numPr>
        <w:spacing w:line="264" w:lineRule="auto"/>
        <w:ind w:left="720"/>
        <w:rPr>
          <w:rFonts w:ascii="Arial" w:hAnsi="Arial" w:cs="Arial"/>
          <w:kern w:val="2"/>
        </w:rPr>
      </w:pPr>
      <w:r w:rsidRPr="008939E0">
        <w:rPr>
          <w:rFonts w:ascii="Arial" w:hAnsi="Arial" w:cs="Arial"/>
          <w:kern w:val="2"/>
        </w:rPr>
        <w:t>Luminaire system efficacy shall be no less than 68 luminaire lumens per input watt.</w:t>
      </w:r>
    </w:p>
    <w:p w:rsidR="008939E0" w:rsidRPr="008939E0" w:rsidRDefault="008939E0" w:rsidP="003652CE">
      <w:pPr>
        <w:numPr>
          <w:ilvl w:val="0"/>
          <w:numId w:val="15"/>
        </w:numPr>
        <w:spacing w:line="264" w:lineRule="auto"/>
        <w:ind w:left="720"/>
        <w:rPr>
          <w:rFonts w:ascii="Arial" w:hAnsi="Arial" w:cs="Arial"/>
          <w:kern w:val="2"/>
        </w:rPr>
      </w:pPr>
      <w:r w:rsidRPr="008939E0">
        <w:rPr>
          <w:rFonts w:ascii="Arial" w:hAnsi="Arial" w:cs="Arial"/>
          <w:kern w:val="2"/>
        </w:rPr>
        <w:t>Luminaire shall have an external label per ANSI C136.15 and internal label per ANSI C136.22.</w:t>
      </w:r>
    </w:p>
    <w:p w:rsidR="008939E0" w:rsidRPr="008939E0" w:rsidRDefault="00671298" w:rsidP="009A1D7C">
      <w:pPr>
        <w:ind w:left="1440"/>
        <w:jc w:val="center"/>
        <w:rPr>
          <w:rFonts w:ascii="Arial" w:hAnsi="Arial" w:cs="Arial"/>
          <w:kern w:val="2"/>
        </w:rPr>
      </w:pPr>
      <w:r>
        <w:rPr>
          <w:rFonts w:ascii="Arial" w:hAnsi="Arial" w:cs="Arial"/>
          <w:kern w:val="2"/>
        </w:rPr>
        <w:br w:type="page"/>
      </w:r>
    </w:p>
    <w:p w:rsidR="008939E0" w:rsidRPr="008939E0" w:rsidRDefault="008939E0" w:rsidP="00F475AE">
      <w:pPr>
        <w:pStyle w:val="ListParagraph"/>
        <w:spacing w:line="264" w:lineRule="auto"/>
        <w:ind w:left="360" w:hanging="360"/>
        <w:rPr>
          <w:rFonts w:ascii="Arial" w:hAnsi="Arial" w:cs="Arial"/>
          <w:kern w:val="2"/>
          <w:sz w:val="20"/>
          <w:szCs w:val="20"/>
        </w:rPr>
      </w:pPr>
      <w:r w:rsidRPr="008939E0">
        <w:rPr>
          <w:rFonts w:ascii="Arial" w:hAnsi="Arial" w:cs="Arial"/>
          <w:kern w:val="2"/>
          <w:sz w:val="20"/>
          <w:szCs w:val="20"/>
        </w:rPr>
        <w:t>(c)</w:t>
      </w:r>
      <w:r w:rsidRPr="008939E0">
        <w:rPr>
          <w:rFonts w:ascii="Arial" w:hAnsi="Arial" w:cs="Arial"/>
          <w:kern w:val="2"/>
          <w:sz w:val="20"/>
          <w:szCs w:val="20"/>
        </w:rPr>
        <w:tab/>
      </w:r>
      <w:r w:rsidRPr="008939E0">
        <w:rPr>
          <w:rFonts w:ascii="Arial" w:hAnsi="Arial" w:cs="Arial"/>
          <w:i/>
          <w:kern w:val="2"/>
          <w:sz w:val="20"/>
          <w:szCs w:val="20"/>
        </w:rPr>
        <w:t>Light</w:t>
      </w:r>
      <w:r w:rsidRPr="008939E0">
        <w:rPr>
          <w:rFonts w:ascii="Arial" w:hAnsi="Arial" w:cs="Arial"/>
          <w:kern w:val="2"/>
          <w:sz w:val="20"/>
          <w:szCs w:val="20"/>
        </w:rPr>
        <w:t xml:space="preserve"> </w:t>
      </w:r>
      <w:r w:rsidRPr="008939E0">
        <w:rPr>
          <w:rFonts w:ascii="Arial" w:hAnsi="Arial" w:cs="Arial"/>
          <w:i/>
          <w:kern w:val="2"/>
          <w:sz w:val="20"/>
          <w:szCs w:val="20"/>
        </w:rPr>
        <w:t>Sources</w:t>
      </w:r>
      <w:r w:rsidRPr="008939E0">
        <w:rPr>
          <w:rFonts w:ascii="Arial" w:hAnsi="Arial" w:cs="Arial"/>
          <w:kern w:val="2"/>
          <w:sz w:val="20"/>
          <w:szCs w:val="20"/>
        </w:rPr>
        <w:t xml:space="preserve">. LED luminaires shall not be retrofit to existing luminaire housing; the Contractor shall replace housing along with the luminaire as a single unit.  Light sources shall be compatible with dimmable drivers supplied with the luminaires in which they are to be installed. All light sources of a similar type shall be provided by the same manufacturer. </w:t>
      </w:r>
    </w:p>
    <w:p w:rsidR="008939E0" w:rsidRPr="008939E0" w:rsidRDefault="008939E0" w:rsidP="0035537F">
      <w:pPr>
        <w:spacing w:line="264" w:lineRule="auto"/>
        <w:ind w:left="360"/>
        <w:rPr>
          <w:rFonts w:ascii="Arial" w:hAnsi="Arial" w:cs="Arial"/>
        </w:rPr>
      </w:pPr>
    </w:p>
    <w:p w:rsidR="008939E0" w:rsidRDefault="008939E0" w:rsidP="0035537F">
      <w:pPr>
        <w:spacing w:line="264" w:lineRule="auto"/>
        <w:ind w:left="360"/>
        <w:rPr>
          <w:rFonts w:ascii="Arial" w:hAnsi="Arial" w:cs="Arial"/>
        </w:rPr>
      </w:pPr>
      <w:r w:rsidRPr="008939E0">
        <w:rPr>
          <w:rFonts w:ascii="Arial" w:hAnsi="Arial" w:cs="Arial"/>
        </w:rPr>
        <w:t>LED light sources shall meet or exceed the following requirements:</w:t>
      </w:r>
    </w:p>
    <w:p w:rsidR="003340E0" w:rsidRPr="008939E0" w:rsidRDefault="003340E0" w:rsidP="0035537F">
      <w:pPr>
        <w:spacing w:line="264" w:lineRule="auto"/>
        <w:ind w:left="360"/>
        <w:rPr>
          <w:rFonts w:ascii="Arial" w:hAnsi="Arial" w:cs="Arial"/>
        </w:rPr>
      </w:pPr>
    </w:p>
    <w:p w:rsidR="008939E0" w:rsidRPr="008939E0" w:rsidRDefault="008939E0" w:rsidP="009A033F">
      <w:pPr>
        <w:widowControl w:val="0"/>
        <w:numPr>
          <w:ilvl w:val="0"/>
          <w:numId w:val="19"/>
        </w:numPr>
        <w:tabs>
          <w:tab w:val="clear" w:pos="1512"/>
          <w:tab w:val="num" w:pos="720"/>
        </w:tabs>
        <w:autoSpaceDE w:val="0"/>
        <w:autoSpaceDN w:val="0"/>
        <w:ind w:right="-270" w:hanging="1152"/>
        <w:rPr>
          <w:rFonts w:ascii="Arial" w:hAnsi="Arial" w:cs="Arial"/>
        </w:rPr>
      </w:pPr>
      <w:r w:rsidRPr="008939E0">
        <w:rPr>
          <w:rFonts w:ascii="Arial" w:hAnsi="Arial" w:cs="Arial"/>
        </w:rPr>
        <w:t>CCT, CRI and Flux:</w:t>
      </w:r>
    </w:p>
    <w:p w:rsidR="008939E0" w:rsidRPr="008939E0" w:rsidRDefault="008939E0" w:rsidP="00473834">
      <w:pPr>
        <w:widowControl w:val="0"/>
        <w:autoSpaceDE w:val="0"/>
        <w:autoSpaceDN w:val="0"/>
        <w:ind w:left="1080" w:right="-270"/>
        <w:rPr>
          <w:rFonts w:ascii="Arial" w:hAnsi="Arial" w:cs="Arial"/>
        </w:rPr>
      </w:pPr>
      <w:r w:rsidRPr="008939E0">
        <w:rPr>
          <w:rFonts w:ascii="Arial" w:hAnsi="Arial" w:cs="Arial"/>
        </w:rPr>
        <w:t xml:space="preserve"> </w:t>
      </w:r>
    </w:p>
    <w:p w:rsidR="008939E0" w:rsidRPr="008939E0" w:rsidRDefault="008939E0" w:rsidP="009A033F">
      <w:pPr>
        <w:widowControl w:val="0"/>
        <w:numPr>
          <w:ilvl w:val="1"/>
          <w:numId w:val="19"/>
        </w:numPr>
        <w:tabs>
          <w:tab w:val="left" w:pos="1080"/>
        </w:tabs>
        <w:autoSpaceDE w:val="0"/>
        <w:autoSpaceDN w:val="0"/>
        <w:ind w:left="1080" w:right="-270"/>
        <w:rPr>
          <w:rFonts w:ascii="Arial" w:hAnsi="Arial" w:cs="Arial"/>
        </w:rPr>
      </w:pPr>
      <w:r w:rsidRPr="008939E0">
        <w:rPr>
          <w:rFonts w:ascii="Arial" w:hAnsi="Arial" w:cs="Arial"/>
        </w:rPr>
        <w:t xml:space="preserve">Correlated Color Temperature (CCT) – All LED light sources shall emit white light and have a CCT no less than 2700K nominal and no greater than 4000K nominal in accordance with ANSI C78.277. </w:t>
      </w:r>
    </w:p>
    <w:p w:rsidR="008939E0" w:rsidRPr="008939E0" w:rsidRDefault="008939E0" w:rsidP="009A033F">
      <w:pPr>
        <w:widowControl w:val="0"/>
        <w:numPr>
          <w:ilvl w:val="1"/>
          <w:numId w:val="19"/>
        </w:numPr>
        <w:tabs>
          <w:tab w:val="left" w:pos="1080"/>
        </w:tabs>
        <w:autoSpaceDE w:val="0"/>
        <w:autoSpaceDN w:val="0"/>
        <w:ind w:left="1080" w:right="-270"/>
        <w:rPr>
          <w:rFonts w:ascii="Arial" w:hAnsi="Arial" w:cs="Arial"/>
        </w:rPr>
      </w:pPr>
      <w:r w:rsidRPr="008939E0">
        <w:rPr>
          <w:rFonts w:ascii="Arial" w:hAnsi="Arial" w:cs="Arial"/>
        </w:rPr>
        <w:t>Color Rendering Index (CRI) – All LED light sources shall have a minimum Color Rendering Index (CRI) of 70 per the LM79 test results.</w:t>
      </w:r>
    </w:p>
    <w:p w:rsidR="008939E0" w:rsidRPr="008939E0" w:rsidRDefault="008939E0" w:rsidP="009A033F">
      <w:pPr>
        <w:widowControl w:val="0"/>
        <w:numPr>
          <w:ilvl w:val="1"/>
          <w:numId w:val="19"/>
        </w:numPr>
        <w:tabs>
          <w:tab w:val="left" w:pos="1080"/>
        </w:tabs>
        <w:autoSpaceDE w:val="0"/>
        <w:autoSpaceDN w:val="0"/>
        <w:ind w:left="1080" w:right="-270"/>
        <w:rPr>
          <w:rFonts w:ascii="Arial" w:hAnsi="Arial" w:cs="Arial"/>
        </w:rPr>
      </w:pPr>
      <w:r w:rsidRPr="008939E0">
        <w:rPr>
          <w:rFonts w:ascii="Arial" w:hAnsi="Arial" w:cs="Arial"/>
        </w:rPr>
        <w:t xml:space="preserve">Luminous Flux – LED light sources shall not exceed the junction temperature recommended by the LED manufacturer. Luminous flux differences between LEDs shall not exceed 10 percent. </w:t>
      </w:r>
    </w:p>
    <w:p w:rsidR="008939E0" w:rsidRPr="008939E0" w:rsidRDefault="008939E0" w:rsidP="00101F33">
      <w:pPr>
        <w:tabs>
          <w:tab w:val="left" w:pos="-1080"/>
          <w:tab w:val="left" w:pos="-720"/>
        </w:tabs>
        <w:ind w:left="360"/>
        <w:rPr>
          <w:rFonts w:ascii="Arial" w:hAnsi="Arial" w:cs="Arial"/>
        </w:rPr>
      </w:pPr>
    </w:p>
    <w:p w:rsidR="008939E0" w:rsidRPr="008939E0" w:rsidRDefault="008939E0" w:rsidP="009A033F">
      <w:pPr>
        <w:widowControl w:val="0"/>
        <w:numPr>
          <w:ilvl w:val="0"/>
          <w:numId w:val="19"/>
        </w:numPr>
        <w:tabs>
          <w:tab w:val="clear" w:pos="1512"/>
          <w:tab w:val="num" w:pos="720"/>
        </w:tabs>
        <w:autoSpaceDE w:val="0"/>
        <w:autoSpaceDN w:val="0"/>
        <w:ind w:left="720" w:right="-270" w:hanging="360"/>
        <w:rPr>
          <w:rFonts w:ascii="Arial" w:hAnsi="Arial" w:cs="Arial"/>
        </w:rPr>
      </w:pPr>
      <w:r w:rsidRPr="008939E0">
        <w:rPr>
          <w:rFonts w:ascii="Arial" w:hAnsi="Arial" w:cs="Arial"/>
        </w:rPr>
        <w:t>LEDs shall have a minimum rated life of 70,000 hours per IES TM-21 at 55</w:t>
      </w:r>
      <w:r w:rsidRPr="008939E0">
        <w:rPr>
          <w:rFonts w:ascii="Arial" w:hAnsi="Arial" w:cs="Arial"/>
          <w:vertAlign w:val="superscript"/>
        </w:rPr>
        <w:t>o</w:t>
      </w:r>
      <w:r w:rsidRPr="008939E0">
        <w:rPr>
          <w:rFonts w:ascii="Arial" w:hAnsi="Arial" w:cs="Arial"/>
        </w:rPr>
        <w:t>C</w:t>
      </w:r>
      <w:r w:rsidR="009A033F">
        <w:rPr>
          <w:rFonts w:ascii="Arial" w:hAnsi="Arial" w:cs="Arial"/>
        </w:rPr>
        <w:t xml:space="preserve"> at the normal operating driver </w:t>
      </w:r>
      <w:r w:rsidRPr="008939E0">
        <w:rPr>
          <w:rFonts w:ascii="Arial" w:hAnsi="Arial" w:cs="Arial"/>
        </w:rPr>
        <w:t>current for the specific luminaire. The lumen output shall be maintained at 70 percent of initial rated lumens (L70) or greater at the rated life of the luminaire.</w:t>
      </w:r>
    </w:p>
    <w:p w:rsidR="008939E0" w:rsidRPr="008939E0" w:rsidRDefault="008939E0" w:rsidP="00101F33">
      <w:pPr>
        <w:jc w:val="center"/>
        <w:rPr>
          <w:rFonts w:ascii="Arial" w:hAnsi="Arial" w:cs="Arial"/>
          <w:b/>
        </w:rPr>
      </w:pPr>
    </w:p>
    <w:p w:rsidR="008939E0" w:rsidRPr="008939E0" w:rsidRDefault="008939E0" w:rsidP="009A033F">
      <w:pPr>
        <w:widowControl w:val="0"/>
        <w:numPr>
          <w:ilvl w:val="0"/>
          <w:numId w:val="19"/>
        </w:numPr>
        <w:tabs>
          <w:tab w:val="clear" w:pos="1512"/>
          <w:tab w:val="num" w:pos="720"/>
        </w:tabs>
        <w:autoSpaceDE w:val="0"/>
        <w:autoSpaceDN w:val="0"/>
        <w:ind w:left="720" w:right="-270" w:hanging="360"/>
        <w:rPr>
          <w:rFonts w:ascii="Arial" w:hAnsi="Arial" w:cs="Arial"/>
          <w:color w:val="000000"/>
        </w:rPr>
      </w:pPr>
      <w:r w:rsidRPr="008939E0">
        <w:rPr>
          <w:rFonts w:ascii="Arial" w:hAnsi="Arial" w:cs="Arial"/>
        </w:rPr>
        <w:t xml:space="preserve">LEDs shall be temperature rated for operation and storage within the range of -40°C to +50°C, and shall withstand low and high frequency vibration  (ANSI C136.31 Vibration Level 3G) over the rated life of the light source. </w:t>
      </w:r>
      <w:r w:rsidR="009A033F">
        <w:rPr>
          <w:rFonts w:ascii="Arial" w:hAnsi="Arial" w:cs="Arial"/>
        </w:rPr>
        <w:br/>
      </w:r>
    </w:p>
    <w:p w:rsidR="008939E0" w:rsidRPr="008939E0" w:rsidRDefault="008939E0" w:rsidP="009A033F">
      <w:pPr>
        <w:widowControl w:val="0"/>
        <w:numPr>
          <w:ilvl w:val="0"/>
          <w:numId w:val="19"/>
        </w:numPr>
        <w:tabs>
          <w:tab w:val="clear" w:pos="1512"/>
          <w:tab w:val="num" w:pos="720"/>
        </w:tabs>
        <w:autoSpaceDE w:val="0"/>
        <w:autoSpaceDN w:val="0"/>
        <w:ind w:left="720" w:right="-270" w:hanging="360"/>
        <w:rPr>
          <w:rFonts w:ascii="Arial" w:hAnsi="Arial" w:cs="Arial"/>
          <w:color w:val="000000"/>
        </w:rPr>
      </w:pPr>
      <w:r w:rsidRPr="008939E0">
        <w:rPr>
          <w:rFonts w:ascii="Arial" w:hAnsi="Arial" w:cs="Arial"/>
          <w:color w:val="000000"/>
        </w:rPr>
        <w:t xml:space="preserve">Cooling System </w:t>
      </w:r>
    </w:p>
    <w:p w:rsidR="008939E0" w:rsidRPr="008939E0" w:rsidRDefault="008939E0" w:rsidP="00766A63">
      <w:pPr>
        <w:widowControl w:val="0"/>
        <w:numPr>
          <w:ilvl w:val="1"/>
          <w:numId w:val="19"/>
        </w:numPr>
        <w:autoSpaceDE w:val="0"/>
        <w:autoSpaceDN w:val="0"/>
        <w:ind w:left="1080" w:right="-270"/>
        <w:rPr>
          <w:rFonts w:ascii="Arial" w:hAnsi="Arial" w:cs="Arial"/>
        </w:rPr>
      </w:pPr>
      <w:r w:rsidRPr="008939E0">
        <w:rPr>
          <w:rFonts w:ascii="Arial" w:hAnsi="Arial" w:cs="Arial"/>
        </w:rPr>
        <w:t xml:space="preserve">Mechanical design of protruding external surfaces (e.g. </w:t>
      </w:r>
      <w:proofErr w:type="gramStart"/>
      <w:r w:rsidRPr="008939E0">
        <w:rPr>
          <w:rFonts w:ascii="Arial" w:hAnsi="Arial" w:cs="Arial"/>
        </w:rPr>
        <w:t>heat sink</w:t>
      </w:r>
      <w:proofErr w:type="gramEnd"/>
      <w:r w:rsidRPr="008939E0">
        <w:rPr>
          <w:rFonts w:ascii="Arial" w:hAnsi="Arial" w:cs="Arial"/>
        </w:rPr>
        <w:t xml:space="preserve"> fins) shall facilitate hose-down cleaning and discourage debris accumulation. </w:t>
      </w:r>
    </w:p>
    <w:p w:rsidR="008939E0" w:rsidRPr="008939E0" w:rsidRDefault="008939E0" w:rsidP="00766A63">
      <w:pPr>
        <w:widowControl w:val="0"/>
        <w:numPr>
          <w:ilvl w:val="1"/>
          <w:numId w:val="19"/>
        </w:numPr>
        <w:autoSpaceDE w:val="0"/>
        <w:autoSpaceDN w:val="0"/>
        <w:ind w:left="1080" w:right="-270"/>
        <w:rPr>
          <w:rFonts w:ascii="Arial" w:hAnsi="Arial" w:cs="Arial"/>
        </w:rPr>
      </w:pPr>
      <w:r w:rsidRPr="008939E0">
        <w:rPr>
          <w:rFonts w:ascii="Arial" w:hAnsi="Arial" w:cs="Arial"/>
        </w:rPr>
        <w:t xml:space="preserve">The cooling system must be passive utilizing heat sinks, convection or conduction. </w:t>
      </w:r>
    </w:p>
    <w:p w:rsidR="008939E0" w:rsidRPr="008939E0" w:rsidRDefault="008939E0" w:rsidP="00766A63">
      <w:pPr>
        <w:widowControl w:val="0"/>
        <w:numPr>
          <w:ilvl w:val="1"/>
          <w:numId w:val="19"/>
        </w:numPr>
        <w:autoSpaceDE w:val="0"/>
        <w:autoSpaceDN w:val="0"/>
        <w:ind w:left="1080" w:right="-270"/>
        <w:rPr>
          <w:rFonts w:ascii="Arial" w:hAnsi="Arial" w:cs="Arial"/>
        </w:rPr>
      </w:pPr>
      <w:r w:rsidRPr="008939E0">
        <w:rPr>
          <w:rFonts w:ascii="Arial" w:hAnsi="Arial" w:cs="Arial"/>
        </w:rPr>
        <w:t xml:space="preserve">Fans, diaphragms, pumps, or liquids shall not be acceptable. </w:t>
      </w:r>
    </w:p>
    <w:p w:rsidR="008939E0" w:rsidRPr="008939E0" w:rsidRDefault="008939E0" w:rsidP="002058E4">
      <w:pPr>
        <w:widowControl w:val="0"/>
        <w:autoSpaceDE w:val="0"/>
        <w:autoSpaceDN w:val="0"/>
        <w:ind w:left="2160" w:right="-270"/>
        <w:rPr>
          <w:rFonts w:ascii="Arial" w:hAnsi="Arial" w:cs="Arial"/>
          <w:color w:val="000000"/>
        </w:rPr>
      </w:pPr>
    </w:p>
    <w:p w:rsidR="008939E0" w:rsidRDefault="008939E0" w:rsidP="00F52EDA">
      <w:pPr>
        <w:widowControl w:val="0"/>
        <w:autoSpaceDE w:val="0"/>
        <w:autoSpaceDN w:val="0"/>
        <w:ind w:right="-270"/>
        <w:rPr>
          <w:rFonts w:ascii="Arial" w:hAnsi="Arial" w:cs="Arial"/>
        </w:rPr>
      </w:pPr>
      <w:r w:rsidRPr="008939E0">
        <w:rPr>
          <w:rFonts w:ascii="Arial" w:hAnsi="Arial" w:cs="Arial"/>
          <w:kern w:val="2"/>
        </w:rPr>
        <w:t xml:space="preserve">(d)  </w:t>
      </w:r>
      <w:proofErr w:type="spellStart"/>
      <w:r w:rsidRPr="008939E0">
        <w:rPr>
          <w:rFonts w:ascii="Arial" w:hAnsi="Arial" w:cs="Arial"/>
          <w:i/>
        </w:rPr>
        <w:t>Photocontrol</w:t>
      </w:r>
      <w:proofErr w:type="spellEnd"/>
      <w:r w:rsidRPr="008939E0">
        <w:rPr>
          <w:rFonts w:ascii="Arial" w:hAnsi="Arial" w:cs="Arial"/>
        </w:rPr>
        <w:t xml:space="preserve"> </w:t>
      </w:r>
      <w:r w:rsidRPr="008939E0">
        <w:rPr>
          <w:rFonts w:ascii="Arial" w:hAnsi="Arial" w:cs="Arial"/>
          <w:i/>
        </w:rPr>
        <w:t>Receptacle</w:t>
      </w:r>
      <w:r w:rsidRPr="008939E0">
        <w:rPr>
          <w:rFonts w:ascii="Arial" w:hAnsi="Arial" w:cs="Arial"/>
        </w:rPr>
        <w:t xml:space="preserve">. </w:t>
      </w:r>
    </w:p>
    <w:p w:rsidR="003340E0" w:rsidRPr="008939E0" w:rsidRDefault="003340E0" w:rsidP="00F52EDA">
      <w:pPr>
        <w:widowControl w:val="0"/>
        <w:autoSpaceDE w:val="0"/>
        <w:autoSpaceDN w:val="0"/>
        <w:ind w:right="-270"/>
        <w:rPr>
          <w:rFonts w:ascii="Arial" w:hAnsi="Arial" w:cs="Arial"/>
        </w:rPr>
      </w:pPr>
    </w:p>
    <w:p w:rsidR="008939E0" w:rsidRPr="008939E0" w:rsidRDefault="008939E0" w:rsidP="003340E0">
      <w:pPr>
        <w:pStyle w:val="CM14"/>
        <w:spacing w:line="264" w:lineRule="auto"/>
        <w:rPr>
          <w:rFonts w:ascii="Arial" w:hAnsi="Arial" w:cs="Arial"/>
          <w:sz w:val="20"/>
          <w:szCs w:val="20"/>
        </w:rPr>
      </w:pPr>
      <w:r w:rsidRPr="008939E0">
        <w:rPr>
          <w:rFonts w:ascii="Arial" w:hAnsi="Arial" w:cs="Arial"/>
          <w:sz w:val="20"/>
          <w:szCs w:val="20"/>
        </w:rPr>
        <w:t>Each roadway luminaire shall be furnished with a multi-contact twist-lock outdoor lighting dimming receptacle per ANSI C136.41.</w:t>
      </w:r>
    </w:p>
    <w:p w:rsidR="008939E0" w:rsidRPr="008939E0" w:rsidRDefault="008939E0">
      <w:pPr>
        <w:rPr>
          <w:rFonts w:ascii="Arial" w:hAnsi="Arial" w:cs="Arial"/>
          <w:color w:val="000000"/>
        </w:rPr>
      </w:pPr>
      <w:r w:rsidRPr="008939E0">
        <w:rPr>
          <w:rFonts w:ascii="Arial" w:hAnsi="Arial" w:cs="Arial"/>
        </w:rPr>
        <w:br w:type="page"/>
      </w:r>
    </w:p>
    <w:p w:rsidR="008939E0" w:rsidRPr="008939E0" w:rsidRDefault="008939E0" w:rsidP="00835063">
      <w:pPr>
        <w:pStyle w:val="Default"/>
        <w:ind w:left="1980"/>
        <w:rPr>
          <w:rFonts w:ascii="Arial" w:hAnsi="Arial" w:cs="Arial"/>
          <w:sz w:val="20"/>
          <w:szCs w:val="20"/>
        </w:rPr>
      </w:pPr>
    </w:p>
    <w:p w:rsidR="008939E0" w:rsidRDefault="008939E0" w:rsidP="00947143">
      <w:pPr>
        <w:spacing w:line="264" w:lineRule="auto"/>
        <w:rPr>
          <w:rFonts w:ascii="Arial" w:hAnsi="Arial" w:cs="Arial"/>
        </w:rPr>
      </w:pPr>
      <w:bookmarkStart w:id="0" w:name="_GoBack"/>
      <w:bookmarkEnd w:id="0"/>
      <w:r w:rsidRPr="008939E0">
        <w:rPr>
          <w:rFonts w:ascii="Arial" w:hAnsi="Arial" w:cs="Arial"/>
        </w:rPr>
        <w:t>Delete subsection 715.05 and replace with the following:</w:t>
      </w:r>
    </w:p>
    <w:p w:rsidR="00671298" w:rsidRPr="008939E0" w:rsidRDefault="00671298" w:rsidP="00947143">
      <w:pPr>
        <w:spacing w:line="264" w:lineRule="auto"/>
        <w:rPr>
          <w:rFonts w:ascii="Arial" w:hAnsi="Arial" w:cs="Arial"/>
          <w:b/>
        </w:rPr>
      </w:pPr>
    </w:p>
    <w:p w:rsidR="008939E0" w:rsidRPr="008939E0" w:rsidRDefault="008939E0" w:rsidP="00C90585">
      <w:pPr>
        <w:pStyle w:val="Default"/>
        <w:numPr>
          <w:ilvl w:val="1"/>
          <w:numId w:val="22"/>
        </w:numPr>
        <w:spacing w:after="9"/>
        <w:rPr>
          <w:rFonts w:ascii="Arial" w:hAnsi="Arial" w:cs="Arial"/>
          <w:sz w:val="20"/>
          <w:szCs w:val="20"/>
        </w:rPr>
      </w:pPr>
      <w:r w:rsidRPr="008939E0">
        <w:rPr>
          <w:rFonts w:ascii="Arial" w:hAnsi="Arial" w:cs="Arial"/>
          <w:b/>
          <w:sz w:val="20"/>
          <w:szCs w:val="20"/>
        </w:rPr>
        <w:t>LED</w:t>
      </w:r>
      <w:r w:rsidRPr="008939E0">
        <w:rPr>
          <w:rFonts w:ascii="Arial" w:hAnsi="Arial" w:cs="Arial"/>
          <w:sz w:val="20"/>
          <w:szCs w:val="20"/>
        </w:rPr>
        <w:t xml:space="preserve"> </w:t>
      </w:r>
      <w:r w:rsidRPr="008939E0">
        <w:rPr>
          <w:rFonts w:ascii="Arial" w:hAnsi="Arial" w:cs="Arial"/>
          <w:b/>
          <w:sz w:val="20"/>
          <w:szCs w:val="20"/>
        </w:rPr>
        <w:t>Drivers</w:t>
      </w:r>
      <w:r w:rsidRPr="008939E0">
        <w:rPr>
          <w:rFonts w:ascii="Arial" w:hAnsi="Arial" w:cs="Arial"/>
          <w:sz w:val="20"/>
          <w:szCs w:val="20"/>
        </w:rPr>
        <w:t>.</w:t>
      </w:r>
      <w:r w:rsidR="003340E0">
        <w:rPr>
          <w:rFonts w:ascii="Arial" w:hAnsi="Arial" w:cs="Arial"/>
          <w:sz w:val="20"/>
          <w:szCs w:val="20"/>
        </w:rPr>
        <w:t xml:space="preserve"> Led drivers shall conform to the following:</w:t>
      </w:r>
      <w:r w:rsidRPr="008939E0">
        <w:rPr>
          <w:rFonts w:ascii="Arial" w:hAnsi="Arial" w:cs="Arial"/>
          <w:sz w:val="20"/>
          <w:szCs w:val="20"/>
        </w:rPr>
        <w:br/>
      </w:r>
    </w:p>
    <w:p w:rsidR="008939E0" w:rsidRPr="008939E0" w:rsidRDefault="008939E0" w:rsidP="00766A63">
      <w:pPr>
        <w:pStyle w:val="Default"/>
        <w:numPr>
          <w:ilvl w:val="1"/>
          <w:numId w:val="23"/>
        </w:numPr>
        <w:spacing w:after="9"/>
        <w:ind w:hanging="810"/>
        <w:rPr>
          <w:rFonts w:ascii="Arial" w:hAnsi="Arial" w:cs="Arial"/>
          <w:sz w:val="20"/>
          <w:szCs w:val="20"/>
        </w:rPr>
      </w:pPr>
      <w:r w:rsidRPr="008939E0">
        <w:rPr>
          <w:rFonts w:ascii="Arial" w:hAnsi="Arial" w:cs="Arial"/>
          <w:sz w:val="20"/>
          <w:szCs w:val="20"/>
        </w:rPr>
        <w:t xml:space="preserve">Dimming signal protocols are 0-10VDC or Digital Addressable Lighting Interface (DALI). </w:t>
      </w:r>
    </w:p>
    <w:p w:rsidR="008939E0" w:rsidRPr="008939E0" w:rsidRDefault="008939E0" w:rsidP="00766A63">
      <w:pPr>
        <w:pStyle w:val="Default"/>
        <w:numPr>
          <w:ilvl w:val="1"/>
          <w:numId w:val="23"/>
        </w:numPr>
        <w:spacing w:after="9"/>
        <w:ind w:left="1080" w:hanging="450"/>
        <w:rPr>
          <w:rFonts w:ascii="Arial" w:hAnsi="Arial" w:cs="Arial"/>
          <w:sz w:val="20"/>
          <w:szCs w:val="20"/>
        </w:rPr>
      </w:pPr>
      <w:r w:rsidRPr="008939E0">
        <w:rPr>
          <w:rFonts w:ascii="Arial" w:hAnsi="Arial" w:cs="Arial"/>
          <w:sz w:val="20"/>
          <w:szCs w:val="20"/>
        </w:rPr>
        <w:t xml:space="preserve">Operating voltage shall be 120/277-volt at 50/60 Hz, and shall operate normally with input voltage fluctuations of ±10 percent, consistent with NEMA SSl-1-2010, Electronic Drivers for LED Devices, Arrays or Systems. </w:t>
      </w:r>
    </w:p>
    <w:p w:rsidR="008939E0" w:rsidRPr="008939E0" w:rsidRDefault="008939E0" w:rsidP="00766A63">
      <w:pPr>
        <w:pStyle w:val="Default"/>
        <w:numPr>
          <w:ilvl w:val="1"/>
          <w:numId w:val="23"/>
        </w:numPr>
        <w:spacing w:after="9"/>
        <w:ind w:left="1080" w:hanging="450"/>
        <w:rPr>
          <w:rFonts w:ascii="Arial" w:hAnsi="Arial" w:cs="Arial"/>
          <w:sz w:val="20"/>
          <w:szCs w:val="20"/>
        </w:rPr>
      </w:pPr>
      <w:r w:rsidRPr="008939E0">
        <w:rPr>
          <w:rFonts w:ascii="Arial" w:hAnsi="Arial" w:cs="Arial"/>
          <w:sz w:val="20"/>
          <w:szCs w:val="20"/>
        </w:rPr>
        <w:t xml:space="preserve">Minimum Power Factor (PF) shall be 0.90 at full input power and across specified voltage range. </w:t>
      </w:r>
    </w:p>
    <w:p w:rsidR="008939E0" w:rsidRPr="008939E0" w:rsidRDefault="008939E0" w:rsidP="00766A63">
      <w:pPr>
        <w:pStyle w:val="Default"/>
        <w:numPr>
          <w:ilvl w:val="1"/>
          <w:numId w:val="23"/>
        </w:numPr>
        <w:spacing w:after="9"/>
        <w:ind w:left="1080" w:hanging="450"/>
        <w:rPr>
          <w:rFonts w:ascii="Arial" w:hAnsi="Arial" w:cs="Arial"/>
          <w:sz w:val="20"/>
          <w:szCs w:val="20"/>
        </w:rPr>
      </w:pPr>
      <w:r w:rsidRPr="008939E0">
        <w:rPr>
          <w:rFonts w:ascii="Arial" w:hAnsi="Arial" w:cs="Arial"/>
          <w:sz w:val="20"/>
          <w:szCs w:val="20"/>
        </w:rPr>
        <w:t xml:space="preserve">Maximum Total Harmonic Distortion (THD) shall be 20 percent at full input power and across specified voltage range. </w:t>
      </w:r>
    </w:p>
    <w:p w:rsidR="008939E0" w:rsidRPr="008939E0" w:rsidRDefault="008939E0" w:rsidP="00766A63">
      <w:pPr>
        <w:pStyle w:val="Default"/>
        <w:numPr>
          <w:ilvl w:val="1"/>
          <w:numId w:val="23"/>
        </w:numPr>
        <w:spacing w:after="9"/>
        <w:ind w:left="1080" w:hanging="450"/>
        <w:rPr>
          <w:rFonts w:ascii="Arial" w:hAnsi="Arial" w:cs="Arial"/>
          <w:sz w:val="20"/>
          <w:szCs w:val="20"/>
        </w:rPr>
      </w:pPr>
      <w:r w:rsidRPr="008939E0">
        <w:rPr>
          <w:rFonts w:ascii="Arial" w:hAnsi="Arial" w:cs="Arial"/>
          <w:sz w:val="20"/>
          <w:szCs w:val="20"/>
        </w:rPr>
        <w:t xml:space="preserve">Factory-set drive current shall be 530mA or less unless approved by Engineer. If higher drive currents are proposed, the submittal must be accompanied with IES LM79 and TM21 test results for higher operating drive current. </w:t>
      </w:r>
    </w:p>
    <w:p w:rsidR="008939E0" w:rsidRPr="008939E0" w:rsidRDefault="008939E0" w:rsidP="00766A63">
      <w:pPr>
        <w:pStyle w:val="Default"/>
        <w:numPr>
          <w:ilvl w:val="1"/>
          <w:numId w:val="23"/>
        </w:numPr>
        <w:spacing w:after="9"/>
        <w:ind w:left="1080" w:hanging="450"/>
        <w:rPr>
          <w:rFonts w:ascii="Arial" w:hAnsi="Arial" w:cs="Arial"/>
          <w:sz w:val="20"/>
          <w:szCs w:val="20"/>
        </w:rPr>
      </w:pPr>
      <w:r w:rsidRPr="008939E0">
        <w:rPr>
          <w:rFonts w:ascii="Arial" w:hAnsi="Arial" w:cs="Arial"/>
          <w:sz w:val="20"/>
          <w:szCs w:val="20"/>
        </w:rPr>
        <w:t>Drivers shall be Restriction of Hazardous Substances (</w:t>
      </w:r>
      <w:proofErr w:type="spellStart"/>
      <w:r w:rsidRPr="008939E0">
        <w:rPr>
          <w:rFonts w:ascii="Arial" w:hAnsi="Arial" w:cs="Arial"/>
          <w:sz w:val="20"/>
          <w:szCs w:val="20"/>
        </w:rPr>
        <w:t>RoHS</w:t>
      </w:r>
      <w:proofErr w:type="spellEnd"/>
      <w:r w:rsidRPr="008939E0">
        <w:rPr>
          <w:rFonts w:ascii="Arial" w:hAnsi="Arial" w:cs="Arial"/>
          <w:sz w:val="20"/>
          <w:szCs w:val="20"/>
        </w:rPr>
        <w:t xml:space="preserve">) compliant. </w:t>
      </w:r>
    </w:p>
    <w:p w:rsidR="008939E0" w:rsidRPr="008939E0" w:rsidRDefault="008939E0" w:rsidP="00766A63">
      <w:pPr>
        <w:pStyle w:val="Default"/>
        <w:numPr>
          <w:ilvl w:val="1"/>
          <w:numId w:val="23"/>
        </w:numPr>
        <w:spacing w:after="9"/>
        <w:ind w:left="1080" w:hanging="450"/>
        <w:rPr>
          <w:rFonts w:ascii="Arial" w:hAnsi="Arial" w:cs="Arial"/>
          <w:sz w:val="20"/>
          <w:szCs w:val="20"/>
        </w:rPr>
      </w:pPr>
      <w:r w:rsidRPr="008939E0">
        <w:rPr>
          <w:rFonts w:ascii="Arial" w:hAnsi="Arial" w:cs="Arial"/>
          <w:sz w:val="20"/>
          <w:szCs w:val="20"/>
        </w:rPr>
        <w:t xml:space="preserve">Rated case temperature shall conform to subsection 715.04 (c) 3. </w:t>
      </w:r>
    </w:p>
    <w:p w:rsidR="008939E0" w:rsidRPr="008939E0" w:rsidRDefault="008939E0" w:rsidP="00766A63">
      <w:pPr>
        <w:pStyle w:val="Default"/>
        <w:numPr>
          <w:ilvl w:val="1"/>
          <w:numId w:val="23"/>
        </w:numPr>
        <w:spacing w:after="9"/>
        <w:ind w:left="1080" w:hanging="450"/>
        <w:rPr>
          <w:rFonts w:ascii="Arial" w:hAnsi="Arial" w:cs="Arial"/>
          <w:kern w:val="2"/>
          <w:sz w:val="20"/>
          <w:szCs w:val="20"/>
        </w:rPr>
      </w:pPr>
      <w:r w:rsidRPr="008939E0">
        <w:rPr>
          <w:rFonts w:ascii="Arial" w:hAnsi="Arial" w:cs="Arial"/>
          <w:sz w:val="20"/>
          <w:szCs w:val="20"/>
        </w:rPr>
        <w:t>All</w:t>
      </w:r>
      <w:r w:rsidRPr="008939E0">
        <w:rPr>
          <w:rFonts w:ascii="Arial" w:hAnsi="Arial" w:cs="Arial"/>
          <w:kern w:val="2"/>
          <w:sz w:val="20"/>
          <w:szCs w:val="20"/>
        </w:rPr>
        <w:t xml:space="preserve"> electronics of the power supply and the LEDs shall be protected from all electrical surges with an </w:t>
      </w:r>
      <w:r w:rsidRPr="00766A63">
        <w:rPr>
          <w:rFonts w:ascii="Arial" w:hAnsi="Arial" w:cs="Arial"/>
          <w:sz w:val="20"/>
          <w:szCs w:val="20"/>
        </w:rPr>
        <w:t>elevated</w:t>
      </w:r>
      <w:r w:rsidRPr="008939E0">
        <w:rPr>
          <w:rFonts w:ascii="Arial" w:hAnsi="Arial" w:cs="Arial"/>
          <w:kern w:val="2"/>
          <w:sz w:val="20"/>
          <w:szCs w:val="20"/>
        </w:rPr>
        <w:t xml:space="preserve"> electrical immunity rating, including but not limited to lightning strikes and stray current in rebar and concrete. Surge protection shall be integral to the LED power supply. </w:t>
      </w:r>
    </w:p>
    <w:p w:rsidR="008939E0" w:rsidRPr="008939E0" w:rsidRDefault="008939E0" w:rsidP="00766A63">
      <w:pPr>
        <w:pStyle w:val="Default"/>
        <w:numPr>
          <w:ilvl w:val="1"/>
          <w:numId w:val="23"/>
        </w:numPr>
        <w:spacing w:after="9"/>
        <w:ind w:left="1080" w:hanging="450"/>
        <w:rPr>
          <w:rFonts w:ascii="Arial" w:hAnsi="Arial" w:cs="Arial"/>
          <w:kern w:val="2"/>
          <w:sz w:val="20"/>
          <w:szCs w:val="20"/>
        </w:rPr>
      </w:pPr>
      <w:r w:rsidRPr="00766A63">
        <w:rPr>
          <w:rFonts w:ascii="Arial" w:hAnsi="Arial" w:cs="Arial"/>
          <w:sz w:val="20"/>
          <w:szCs w:val="20"/>
        </w:rPr>
        <w:t>Luminaire</w:t>
      </w:r>
      <w:r w:rsidRPr="008939E0">
        <w:rPr>
          <w:rFonts w:ascii="Arial" w:hAnsi="Arial" w:cs="Arial"/>
          <w:kern w:val="2"/>
          <w:sz w:val="20"/>
          <w:szCs w:val="20"/>
        </w:rPr>
        <w:t>, including driver, shall consume no more than 4 watts in the off state power.</w:t>
      </w:r>
    </w:p>
    <w:p w:rsidR="008939E0" w:rsidRPr="008939E0" w:rsidRDefault="008939E0" w:rsidP="00766A63">
      <w:pPr>
        <w:pStyle w:val="Default"/>
        <w:numPr>
          <w:ilvl w:val="1"/>
          <w:numId w:val="23"/>
        </w:numPr>
        <w:spacing w:after="9"/>
        <w:ind w:left="1080" w:hanging="450"/>
        <w:rPr>
          <w:rFonts w:ascii="Arial" w:hAnsi="Arial" w:cs="Arial"/>
          <w:kern w:val="2"/>
          <w:sz w:val="20"/>
          <w:szCs w:val="20"/>
        </w:rPr>
      </w:pPr>
      <w:r w:rsidRPr="008939E0">
        <w:rPr>
          <w:rFonts w:ascii="Arial" w:hAnsi="Arial" w:cs="Arial"/>
          <w:sz w:val="20"/>
          <w:szCs w:val="20"/>
        </w:rPr>
        <w:t xml:space="preserve">Electrical immunity (including surge protection) </w:t>
      </w:r>
    </w:p>
    <w:p w:rsidR="008939E0" w:rsidRPr="008939E0" w:rsidRDefault="008939E0" w:rsidP="00766A63">
      <w:pPr>
        <w:widowControl w:val="0"/>
        <w:numPr>
          <w:ilvl w:val="3"/>
          <w:numId w:val="19"/>
        </w:numPr>
        <w:autoSpaceDE w:val="0"/>
        <w:autoSpaceDN w:val="0"/>
        <w:ind w:left="1440" w:right="-270"/>
        <w:rPr>
          <w:rFonts w:ascii="Arial" w:hAnsi="Arial" w:cs="Arial"/>
          <w:kern w:val="2"/>
        </w:rPr>
      </w:pPr>
      <w:r w:rsidRPr="008939E0">
        <w:rPr>
          <w:rFonts w:ascii="Arial" w:hAnsi="Arial" w:cs="Arial"/>
        </w:rPr>
        <w:t xml:space="preserve">Luminaire shall meet the “Elevated” requirements per IEEE C62.41.2 -2002. Manufacturer shall indicate whether failure of the electrical immunity system can possibly result in disconnect of power to luminaire. </w:t>
      </w:r>
    </w:p>
    <w:p w:rsidR="008939E0" w:rsidRPr="008939E0" w:rsidRDefault="008939E0" w:rsidP="00766A63">
      <w:pPr>
        <w:pStyle w:val="Default"/>
        <w:numPr>
          <w:ilvl w:val="1"/>
          <w:numId w:val="23"/>
        </w:numPr>
        <w:spacing w:after="9"/>
        <w:ind w:left="1080" w:hanging="450"/>
        <w:rPr>
          <w:rFonts w:ascii="Arial" w:hAnsi="Arial" w:cs="Arial"/>
          <w:kern w:val="2"/>
          <w:sz w:val="20"/>
          <w:szCs w:val="20"/>
        </w:rPr>
      </w:pPr>
      <w:r w:rsidRPr="008939E0">
        <w:rPr>
          <w:rFonts w:ascii="Arial" w:hAnsi="Arial" w:cs="Arial"/>
          <w:sz w:val="20"/>
          <w:szCs w:val="20"/>
        </w:rPr>
        <w:t>Electromagnetic interference: Shall comply with Federal Communications Commission (FCC) 47 Code of Federal Regulations (CFR) part 15 non-consumer radio frequency interference (RFI) and/or electromagnetic interference (EMI) standards.</w:t>
      </w:r>
    </w:p>
    <w:p w:rsidR="008939E0" w:rsidRPr="008939E0" w:rsidRDefault="008939E0" w:rsidP="00F52EDA">
      <w:pPr>
        <w:pStyle w:val="Default"/>
        <w:spacing w:after="9"/>
        <w:rPr>
          <w:rFonts w:ascii="Arial" w:hAnsi="Arial" w:cs="Arial"/>
          <w:kern w:val="2"/>
          <w:sz w:val="20"/>
          <w:szCs w:val="20"/>
        </w:rPr>
      </w:pPr>
      <w:r w:rsidRPr="008939E0">
        <w:rPr>
          <w:rFonts w:ascii="Arial" w:hAnsi="Arial" w:cs="Arial"/>
          <w:sz w:val="20"/>
          <w:szCs w:val="20"/>
        </w:rPr>
        <w:t xml:space="preserve"> </w:t>
      </w:r>
    </w:p>
    <w:p w:rsidR="008939E0" w:rsidRPr="008939E0" w:rsidRDefault="008939E0" w:rsidP="004E18F5">
      <w:pPr>
        <w:pStyle w:val="NoSpacing"/>
        <w:rPr>
          <w:rFonts w:ascii="Arial" w:hAnsi="Arial" w:cs="Arial"/>
          <w:sz w:val="20"/>
          <w:szCs w:val="20"/>
        </w:rPr>
      </w:pPr>
    </w:p>
    <w:p w:rsidR="008939E0" w:rsidRPr="008939E0" w:rsidRDefault="008939E0" w:rsidP="004E18F5">
      <w:pPr>
        <w:pStyle w:val="NoSpacing"/>
        <w:rPr>
          <w:rFonts w:ascii="Arial" w:hAnsi="Arial" w:cs="Arial"/>
          <w:sz w:val="20"/>
          <w:szCs w:val="20"/>
        </w:rPr>
      </w:pPr>
    </w:p>
    <w:p w:rsidR="008939E0" w:rsidRPr="008939E0" w:rsidRDefault="008939E0" w:rsidP="004E18F5">
      <w:pPr>
        <w:pStyle w:val="NoSpacing"/>
        <w:rPr>
          <w:rFonts w:ascii="Arial" w:hAnsi="Arial" w:cs="Arial"/>
          <w:sz w:val="20"/>
          <w:szCs w:val="20"/>
        </w:rPr>
      </w:pPr>
    </w:p>
    <w:p w:rsidR="008939E0" w:rsidRPr="008939E0" w:rsidRDefault="008939E0" w:rsidP="00725406">
      <w:pPr>
        <w:pStyle w:val="NoSpacing"/>
        <w:rPr>
          <w:rFonts w:ascii="Arial" w:hAnsi="Arial" w:cs="Arial"/>
          <w:sz w:val="20"/>
          <w:szCs w:val="20"/>
        </w:rPr>
      </w:pPr>
    </w:p>
    <w:p w:rsidR="008939E0" w:rsidRPr="008939E0" w:rsidRDefault="008939E0" w:rsidP="00AA2C04">
      <w:pPr>
        <w:pStyle w:val="NoSpacing"/>
        <w:jc w:val="center"/>
        <w:rPr>
          <w:rFonts w:ascii="Arial" w:hAnsi="Arial" w:cs="Arial"/>
          <w:b/>
          <w:sz w:val="20"/>
          <w:szCs w:val="20"/>
        </w:rPr>
      </w:pPr>
    </w:p>
    <w:p w:rsidR="008939E0" w:rsidRPr="008939E0" w:rsidRDefault="008939E0" w:rsidP="00AA2C04">
      <w:pPr>
        <w:pStyle w:val="NoSpacing"/>
        <w:rPr>
          <w:rFonts w:ascii="Arial" w:hAnsi="Arial" w:cs="Arial"/>
          <w:sz w:val="20"/>
          <w:szCs w:val="20"/>
        </w:rPr>
      </w:pPr>
    </w:p>
    <w:p w:rsidR="00C93280" w:rsidRPr="008939E0" w:rsidRDefault="00C93280" w:rsidP="00D16104">
      <w:pPr>
        <w:rPr>
          <w:rFonts w:ascii="Arial" w:hAnsi="Arial" w:cs="Arial"/>
        </w:rPr>
      </w:pPr>
    </w:p>
    <w:sectPr w:rsidR="00C93280" w:rsidRPr="008939E0" w:rsidSect="00084F61">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F54" w:rsidRDefault="008E4F54" w:rsidP="00F878BD">
      <w:r>
        <w:separator/>
      </w:r>
    </w:p>
  </w:endnote>
  <w:endnote w:type="continuationSeparator" w:id="0">
    <w:p w:rsidR="008E4F54" w:rsidRDefault="008E4F54"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
    <w:altName w:val="Arial Unicode MS"/>
    <w:panose1 w:val="00000000000000000000"/>
    <w:charset w:val="88"/>
    <w:family w:val="roman"/>
    <w:notTrueType/>
    <w:pitch w:val="default"/>
    <w:sig w:usb0="00000001" w:usb1="090E0000" w:usb2="00000010" w:usb3="00000000" w:csb0="001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F54" w:rsidRDefault="008E4F54" w:rsidP="00F878BD">
      <w:r>
        <w:separator/>
      </w:r>
    </w:p>
  </w:footnote>
  <w:footnote w:type="continuationSeparator" w:id="0">
    <w:p w:rsidR="008E4F54" w:rsidRDefault="008E4F54"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C2" w:rsidRDefault="007841C2" w:rsidP="007841C2">
    <w:pPr>
      <w:pStyle w:val="NoSpacing"/>
      <w:jc w:val="right"/>
      <w:rPr>
        <w:rFonts w:ascii="Arial" w:hAnsi="Arial" w:cs="Arial"/>
        <w:sz w:val="20"/>
        <w:szCs w:val="20"/>
      </w:rPr>
    </w:pPr>
    <w:r>
      <w:rPr>
        <w:rFonts w:ascii="Arial" w:hAnsi="Arial" w:cs="Arial"/>
        <w:sz w:val="20"/>
        <w:szCs w:val="20"/>
      </w:rPr>
      <w:t>January 30, 2014</w:t>
    </w:r>
  </w:p>
  <w:p w:rsidR="00084F61" w:rsidRDefault="00084F61" w:rsidP="00B6299F">
    <w:pPr>
      <w:pStyle w:val="NoSpacing"/>
      <w:jc w:val="center"/>
      <w:rPr>
        <w:rFonts w:ascii="Arial" w:hAnsi="Arial" w:cs="Arial"/>
        <w:noProof/>
        <w:sz w:val="20"/>
        <w:szCs w:val="20"/>
      </w:rPr>
    </w:pPr>
    <w:r w:rsidRPr="00084F61">
      <w:rPr>
        <w:rFonts w:ascii="Arial" w:hAnsi="Arial" w:cs="Arial"/>
        <w:sz w:val="20"/>
        <w:szCs w:val="20"/>
      </w:rPr>
      <w:fldChar w:fldCharType="begin"/>
    </w:r>
    <w:r w:rsidRPr="00084F61">
      <w:rPr>
        <w:rFonts w:ascii="Arial" w:hAnsi="Arial" w:cs="Arial"/>
        <w:sz w:val="20"/>
        <w:szCs w:val="20"/>
      </w:rPr>
      <w:instrText xml:space="preserve"> PAGE   \* MERGEFORMAT </w:instrText>
    </w:r>
    <w:r w:rsidRPr="00084F61">
      <w:rPr>
        <w:rFonts w:ascii="Arial" w:hAnsi="Arial" w:cs="Arial"/>
        <w:sz w:val="20"/>
        <w:szCs w:val="20"/>
      </w:rPr>
      <w:fldChar w:fldCharType="separate"/>
    </w:r>
    <w:r w:rsidR="00766A63">
      <w:rPr>
        <w:rFonts w:ascii="Arial" w:hAnsi="Arial" w:cs="Arial"/>
        <w:noProof/>
        <w:sz w:val="20"/>
        <w:szCs w:val="20"/>
      </w:rPr>
      <w:t>3</w:t>
    </w:r>
    <w:r w:rsidRPr="00084F61">
      <w:rPr>
        <w:rFonts w:ascii="Arial" w:hAnsi="Arial" w:cs="Arial"/>
        <w:noProof/>
        <w:sz w:val="20"/>
        <w:szCs w:val="20"/>
      </w:rPr>
      <w:fldChar w:fldCharType="end"/>
    </w:r>
  </w:p>
  <w:p w:rsidR="00B6299F" w:rsidRPr="008939E0" w:rsidRDefault="00B6299F" w:rsidP="00B6299F">
    <w:pPr>
      <w:pStyle w:val="NoSpacing"/>
      <w:jc w:val="center"/>
      <w:rPr>
        <w:rFonts w:ascii="Arial" w:hAnsi="Arial" w:cs="Arial"/>
        <w:sz w:val="20"/>
        <w:szCs w:val="20"/>
      </w:rPr>
    </w:pPr>
    <w:r w:rsidRPr="008939E0">
      <w:rPr>
        <w:rFonts w:ascii="Arial" w:hAnsi="Arial" w:cs="Arial"/>
        <w:sz w:val="20"/>
        <w:szCs w:val="20"/>
      </w:rPr>
      <w:t>REVISION OF SECTIONS 613 AND 715</w:t>
    </w:r>
  </w:p>
  <w:p w:rsidR="00B6299F" w:rsidRPr="008939E0" w:rsidRDefault="00B6299F" w:rsidP="00B6299F">
    <w:pPr>
      <w:pStyle w:val="NoSpacing"/>
      <w:jc w:val="center"/>
      <w:rPr>
        <w:rFonts w:ascii="Arial" w:hAnsi="Arial" w:cs="Arial"/>
        <w:sz w:val="20"/>
        <w:szCs w:val="20"/>
      </w:rPr>
    </w:pPr>
    <w:r w:rsidRPr="008939E0">
      <w:rPr>
        <w:rFonts w:ascii="Arial" w:hAnsi="Arial" w:cs="Arial"/>
        <w:sz w:val="20"/>
        <w:szCs w:val="20"/>
      </w:rPr>
      <w:t>LED ROADWAY LUMINAIRE</w:t>
    </w:r>
  </w:p>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20F337F"/>
    <w:multiLevelType w:val="multilevel"/>
    <w:tmpl w:val="568814F4"/>
    <w:lvl w:ilvl="0">
      <w:start w:val="715"/>
      <w:numFmt w:val="decimal"/>
      <w:lvlText w:val="%1"/>
      <w:lvlJc w:val="left"/>
      <w:pPr>
        <w:ind w:left="645" w:hanging="645"/>
      </w:pPr>
      <w:rPr>
        <w:rFonts w:hint="default"/>
      </w:rPr>
    </w:lvl>
    <w:lvl w:ilvl="1">
      <w:start w:val="5"/>
      <w:numFmt w:val="decimalZero"/>
      <w:lvlText w:val="%1.%2"/>
      <w:lvlJc w:val="left"/>
      <w:pPr>
        <w:ind w:left="645" w:hanging="64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AEA6EDC"/>
    <w:multiLevelType w:val="hybridMultilevel"/>
    <w:tmpl w:val="D76AA010"/>
    <w:lvl w:ilvl="0" w:tplc="50901948">
      <w:start w:val="1"/>
      <w:numFmt w:val="lowerRoman"/>
      <w:lvlText w:val="(%1)"/>
      <w:lvlJc w:val="left"/>
      <w:pPr>
        <w:ind w:left="1800" w:hanging="360"/>
      </w:pPr>
      <w:rPr>
        <w:rFonts w:ascii="Arial" w:hAnsi="Arial" w:hint="default"/>
        <w:b w:val="0"/>
        <w:bCs w:val="0"/>
        <w:i w:val="0"/>
        <w:iCs w:val="0"/>
        <w:strike w:val="0"/>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E6F6CB2"/>
    <w:multiLevelType w:val="hybridMultilevel"/>
    <w:tmpl w:val="0CD6D780"/>
    <w:lvl w:ilvl="0" w:tplc="DB865862">
      <w:start w:val="2"/>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F1960"/>
    <w:multiLevelType w:val="hybridMultilevel"/>
    <w:tmpl w:val="A9584226"/>
    <w:lvl w:ilvl="0" w:tplc="4E78EB68">
      <w:start w:val="1"/>
      <w:numFmt w:val="decimal"/>
      <w:lvlText w:val="(%1)"/>
      <w:lvlJc w:val="left"/>
      <w:pPr>
        <w:tabs>
          <w:tab w:val="num" w:pos="1512"/>
        </w:tabs>
        <w:ind w:left="1512" w:hanging="432"/>
      </w:pPr>
      <w:rPr>
        <w:rFonts w:ascii="Times New Roman" w:hAnsi="Times New Roman" w:cs="Times New Roman" w:hint="default"/>
        <w:b w:val="0"/>
        <w:bCs w:val="0"/>
        <w:i w:val="0"/>
        <w:iCs w:val="0"/>
        <w:sz w:val="20"/>
        <w:szCs w:val="20"/>
      </w:rPr>
    </w:lvl>
    <w:lvl w:ilvl="1" w:tplc="84B45A96">
      <w:start w:val="1"/>
      <w:numFmt w:val="lowerRoman"/>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7208EF"/>
    <w:multiLevelType w:val="hybridMultilevel"/>
    <w:tmpl w:val="CAE2CA6C"/>
    <w:lvl w:ilvl="0" w:tplc="31E46DFE">
      <w:start w:val="1"/>
      <w:numFmt w:val="lowerLetter"/>
      <w:lvlText w:val="(%1)"/>
      <w:lvlJc w:val="left"/>
      <w:pPr>
        <w:ind w:left="360" w:hanging="360"/>
      </w:pPr>
      <w:rPr>
        <w:rFonts w:hint="default"/>
      </w:rPr>
    </w:lvl>
    <w:lvl w:ilvl="1" w:tplc="799862A0">
      <w:start w:val="1"/>
      <w:numFmt w:val="decimal"/>
      <w:lvlText w:val="(%2)"/>
      <w:lvlJc w:val="left"/>
      <w:pPr>
        <w:ind w:left="1440" w:hanging="360"/>
      </w:pPr>
      <w:rPr>
        <w:rFonts w:ascii="Arial" w:hAnsi="Arial" w:hint="default"/>
        <w:color w:val="auto"/>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17586B"/>
    <w:multiLevelType w:val="hybridMultilevel"/>
    <w:tmpl w:val="8DC0A11E"/>
    <w:lvl w:ilvl="0" w:tplc="5F7A484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2E4713"/>
    <w:multiLevelType w:val="hybridMultilevel"/>
    <w:tmpl w:val="A6D82826"/>
    <w:lvl w:ilvl="0" w:tplc="799862A0">
      <w:start w:val="1"/>
      <w:numFmt w:val="decimal"/>
      <w:lvlText w:val="(%1)"/>
      <w:lvlJc w:val="left"/>
      <w:pPr>
        <w:ind w:left="1350" w:hanging="360"/>
      </w:pPr>
      <w:rPr>
        <w:rFonts w:ascii="Arial" w:hAnsi="Arial" w:hint="default"/>
        <w:color w:val="auto"/>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441068E4"/>
    <w:multiLevelType w:val="hybridMultilevel"/>
    <w:tmpl w:val="9564A76E"/>
    <w:lvl w:ilvl="0" w:tplc="66C40810">
      <w:start w:val="1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nsid w:val="4DC834E8"/>
    <w:multiLevelType w:val="hybridMultilevel"/>
    <w:tmpl w:val="AAACFEE4"/>
    <w:lvl w:ilvl="0" w:tplc="C3C4AF10">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E41517"/>
    <w:multiLevelType w:val="hybridMultilevel"/>
    <w:tmpl w:val="82A8DFEC"/>
    <w:lvl w:ilvl="0" w:tplc="DB40B95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C631D8"/>
    <w:multiLevelType w:val="hybridMultilevel"/>
    <w:tmpl w:val="C6EE3E5A"/>
    <w:lvl w:ilvl="0" w:tplc="AB96151E">
      <w:start w:val="3"/>
      <w:numFmt w:val="lowerLetter"/>
      <w:lvlText w:val="%1)"/>
      <w:lvlJc w:val="left"/>
      <w:pPr>
        <w:ind w:left="360" w:hanging="360"/>
      </w:pPr>
      <w:rPr>
        <w:rFonts w:hint="default"/>
      </w:rPr>
    </w:lvl>
    <w:lvl w:ilvl="1" w:tplc="0409000F">
      <w:start w:val="1"/>
      <w:numFmt w:val="decimal"/>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9A77E5D"/>
    <w:multiLevelType w:val="hybridMultilevel"/>
    <w:tmpl w:val="F1389C0E"/>
    <w:lvl w:ilvl="0" w:tplc="335EF2B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302C54"/>
    <w:multiLevelType w:val="hybridMultilevel"/>
    <w:tmpl w:val="A4084720"/>
    <w:lvl w:ilvl="0" w:tplc="B328B5D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D4412A6"/>
    <w:multiLevelType w:val="hybridMultilevel"/>
    <w:tmpl w:val="58564AF4"/>
    <w:lvl w:ilvl="0" w:tplc="291A19CA">
      <w:start w:val="1"/>
      <w:numFmt w:val="decimal"/>
      <w:lvlText w:val="(%1)"/>
      <w:lvlJc w:val="left"/>
      <w:pPr>
        <w:tabs>
          <w:tab w:val="num" w:pos="1512"/>
        </w:tabs>
        <w:ind w:left="1512" w:hanging="432"/>
      </w:pPr>
      <w:rPr>
        <w:rFonts w:ascii="Arial" w:hAnsi="Arial" w:cs="Times New Roman" w:hint="default"/>
        <w:b w:val="0"/>
        <w:bCs w:val="0"/>
        <w:i w:val="0"/>
        <w:iCs w:val="0"/>
        <w:sz w:val="20"/>
        <w:szCs w:val="22"/>
      </w:rPr>
    </w:lvl>
    <w:lvl w:ilvl="1" w:tplc="50901948">
      <w:start w:val="1"/>
      <w:numFmt w:val="lowerRoman"/>
      <w:lvlText w:val="(%2)"/>
      <w:lvlJc w:val="left"/>
      <w:pPr>
        <w:ind w:left="2160" w:hanging="360"/>
      </w:pPr>
      <w:rPr>
        <w:rFonts w:ascii="Arial" w:hAnsi="Arial" w:hint="default"/>
        <w:b w:val="0"/>
        <w:bCs w:val="0"/>
        <w:i w:val="0"/>
        <w:iCs w:val="0"/>
        <w:strike w:val="0"/>
        <w:sz w:val="20"/>
        <w:szCs w:val="20"/>
      </w:rPr>
    </w:lvl>
    <w:lvl w:ilvl="2" w:tplc="0409001B">
      <w:start w:val="1"/>
      <w:numFmt w:val="lowerRoman"/>
      <w:lvlText w:val="%3."/>
      <w:lvlJc w:val="right"/>
      <w:pPr>
        <w:ind w:left="2880" w:hanging="180"/>
      </w:pPr>
    </w:lvl>
    <w:lvl w:ilvl="3" w:tplc="50901948">
      <w:start w:val="1"/>
      <w:numFmt w:val="lowerRoman"/>
      <w:lvlText w:val="(%4)"/>
      <w:lvlJc w:val="left"/>
      <w:pPr>
        <w:ind w:left="3600" w:hanging="360"/>
      </w:pPr>
      <w:rPr>
        <w:rFonts w:ascii="Arial" w:hAnsi="Arial" w:hint="default"/>
        <w:b w:val="0"/>
        <w:bCs w:val="0"/>
        <w:i w:val="0"/>
        <w:iCs w:val="0"/>
        <w:strike w:val="0"/>
        <w:sz w:val="20"/>
        <w:szCs w:val="2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718E1448"/>
    <w:multiLevelType w:val="hybridMultilevel"/>
    <w:tmpl w:val="969A29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813B4F"/>
    <w:multiLevelType w:val="hybridMultilevel"/>
    <w:tmpl w:val="2064FCA8"/>
    <w:lvl w:ilvl="0" w:tplc="7E06202E">
      <w:start w:val="10"/>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6"/>
  </w:num>
  <w:num w:numId="4">
    <w:abstractNumId w:val="1"/>
  </w:num>
  <w:num w:numId="5">
    <w:abstractNumId w:val="13"/>
  </w:num>
  <w:num w:numId="6">
    <w:abstractNumId w:val="15"/>
  </w:num>
  <w:num w:numId="7">
    <w:abstractNumId w:val="6"/>
  </w:num>
  <w:num w:numId="8">
    <w:abstractNumId w:val="14"/>
  </w:num>
  <w:num w:numId="9">
    <w:abstractNumId w:val="12"/>
  </w:num>
  <w:num w:numId="10">
    <w:abstractNumId w:val="17"/>
  </w:num>
  <w:num w:numId="11">
    <w:abstractNumId w:val="19"/>
  </w:num>
  <w:num w:numId="12">
    <w:abstractNumId w:val="23"/>
  </w:num>
  <w:num w:numId="13">
    <w:abstractNumId w:val="20"/>
  </w:num>
  <w:num w:numId="14">
    <w:abstractNumId w:val="10"/>
  </w:num>
  <w:num w:numId="15">
    <w:abstractNumId w:val="9"/>
  </w:num>
  <w:num w:numId="16">
    <w:abstractNumId w:val="5"/>
  </w:num>
  <w:num w:numId="17">
    <w:abstractNumId w:val="18"/>
  </w:num>
  <w:num w:numId="18">
    <w:abstractNumId w:val="22"/>
  </w:num>
  <w:num w:numId="19">
    <w:abstractNumId w:val="21"/>
  </w:num>
  <w:num w:numId="20">
    <w:abstractNumId w:val="4"/>
  </w:num>
  <w:num w:numId="21">
    <w:abstractNumId w:val="8"/>
  </w:num>
  <w:num w:numId="22">
    <w:abstractNumId w:val="2"/>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84F61"/>
    <w:rsid w:val="000C3C6B"/>
    <w:rsid w:val="000E3C78"/>
    <w:rsid w:val="00104B77"/>
    <w:rsid w:val="001C3F85"/>
    <w:rsid w:val="00222008"/>
    <w:rsid w:val="00230276"/>
    <w:rsid w:val="00283291"/>
    <w:rsid w:val="003162A2"/>
    <w:rsid w:val="003340E0"/>
    <w:rsid w:val="00353154"/>
    <w:rsid w:val="003652CE"/>
    <w:rsid w:val="003823FC"/>
    <w:rsid w:val="003C3F1C"/>
    <w:rsid w:val="004249F3"/>
    <w:rsid w:val="00425587"/>
    <w:rsid w:val="00441D2F"/>
    <w:rsid w:val="0047128C"/>
    <w:rsid w:val="004B09DE"/>
    <w:rsid w:val="004F1849"/>
    <w:rsid w:val="0056039E"/>
    <w:rsid w:val="00572D1D"/>
    <w:rsid w:val="00671298"/>
    <w:rsid w:val="006B1A52"/>
    <w:rsid w:val="00706DF8"/>
    <w:rsid w:val="0071231C"/>
    <w:rsid w:val="00726A77"/>
    <w:rsid w:val="0075366D"/>
    <w:rsid w:val="00766A63"/>
    <w:rsid w:val="007735BF"/>
    <w:rsid w:val="007841C2"/>
    <w:rsid w:val="007854AB"/>
    <w:rsid w:val="00814549"/>
    <w:rsid w:val="00870736"/>
    <w:rsid w:val="008939E0"/>
    <w:rsid w:val="008B3BFC"/>
    <w:rsid w:val="008C59FF"/>
    <w:rsid w:val="008D4DE9"/>
    <w:rsid w:val="008E4F54"/>
    <w:rsid w:val="00923AF8"/>
    <w:rsid w:val="00935ABF"/>
    <w:rsid w:val="00973DFA"/>
    <w:rsid w:val="00987248"/>
    <w:rsid w:val="009A033F"/>
    <w:rsid w:val="009B3EF3"/>
    <w:rsid w:val="009F3FE4"/>
    <w:rsid w:val="00A14275"/>
    <w:rsid w:val="00A20231"/>
    <w:rsid w:val="00A66E52"/>
    <w:rsid w:val="00A7142E"/>
    <w:rsid w:val="00A73269"/>
    <w:rsid w:val="00A76618"/>
    <w:rsid w:val="00A92397"/>
    <w:rsid w:val="00AA36CC"/>
    <w:rsid w:val="00AC7AF4"/>
    <w:rsid w:val="00B03922"/>
    <w:rsid w:val="00B25927"/>
    <w:rsid w:val="00B6299F"/>
    <w:rsid w:val="00B91FF1"/>
    <w:rsid w:val="00C93280"/>
    <w:rsid w:val="00CA2259"/>
    <w:rsid w:val="00D16104"/>
    <w:rsid w:val="00DE7DCD"/>
    <w:rsid w:val="00E208F0"/>
    <w:rsid w:val="00E647BB"/>
    <w:rsid w:val="00E85CC9"/>
    <w:rsid w:val="00E950CD"/>
    <w:rsid w:val="00EA7A41"/>
    <w:rsid w:val="00EF1243"/>
    <w:rsid w:val="00F40C7B"/>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939E0"/>
    <w:pPr>
      <w:widowControl w:val="0"/>
      <w:autoSpaceDE w:val="0"/>
      <w:autoSpaceDN w:val="0"/>
      <w:adjustRightInd w:val="0"/>
    </w:pPr>
    <w:rPr>
      <w:rFonts w:ascii="Helvetica" w:hAnsi="Helvetica" w:cs="Helvetica"/>
      <w:color w:val="000000"/>
      <w:sz w:val="24"/>
      <w:szCs w:val="24"/>
    </w:rPr>
  </w:style>
  <w:style w:type="paragraph" w:customStyle="1" w:styleId="CM14">
    <w:name w:val="CM14"/>
    <w:basedOn w:val="Default"/>
    <w:next w:val="Default"/>
    <w:uiPriority w:val="99"/>
    <w:rsid w:val="008939E0"/>
    <w:pPr>
      <w:spacing w:line="253" w:lineRule="atLeast"/>
    </w:pPr>
    <w:rPr>
      <w:rFonts w:cs="Times New Roman"/>
      <w:color w:val="auto"/>
    </w:rPr>
  </w:style>
  <w:style w:type="paragraph" w:customStyle="1" w:styleId="CM15">
    <w:name w:val="CM15"/>
    <w:basedOn w:val="Default"/>
    <w:next w:val="Default"/>
    <w:uiPriority w:val="99"/>
    <w:rsid w:val="008939E0"/>
    <w:pPr>
      <w:spacing w:line="253" w:lineRule="atLeast"/>
    </w:pPr>
    <w:rPr>
      <w:rFonts w:cs="Times New Roman"/>
      <w:color w:val="auto"/>
    </w:rPr>
  </w:style>
  <w:style w:type="table" w:styleId="MediumList2">
    <w:name w:val="Medium List 2"/>
    <w:basedOn w:val="TableNormal"/>
    <w:uiPriority w:val="66"/>
    <w:rsid w:val="008939E0"/>
    <w:rPr>
      <w:rFonts w:ascii="Cambria" w:hAnsi="Cambria"/>
      <w:color w:val="000000"/>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styleId="CommentReference">
    <w:name w:val="annotation reference"/>
    <w:uiPriority w:val="99"/>
    <w:unhideWhenUsed/>
    <w:rsid w:val="008939E0"/>
    <w:rPr>
      <w:sz w:val="16"/>
      <w:szCs w:val="16"/>
    </w:rPr>
  </w:style>
  <w:style w:type="paragraph" w:styleId="CommentText">
    <w:name w:val="annotation text"/>
    <w:basedOn w:val="Normal"/>
    <w:link w:val="CommentTextChar"/>
    <w:uiPriority w:val="99"/>
    <w:unhideWhenUsed/>
    <w:rsid w:val="008939E0"/>
    <w:pPr>
      <w:spacing w:after="200"/>
    </w:pPr>
    <w:rPr>
      <w:rFonts w:ascii="Calibri" w:eastAsia="Calibri" w:hAnsi="Calibri"/>
    </w:rPr>
  </w:style>
  <w:style w:type="character" w:customStyle="1" w:styleId="CommentTextChar">
    <w:name w:val="Comment Text Char"/>
    <w:link w:val="CommentText"/>
    <w:uiPriority w:val="99"/>
    <w:rsid w:val="008939E0"/>
    <w:rPr>
      <w:rFonts w:ascii="Calibri" w:eastAsia="Calibri" w:hAnsi="Calibri"/>
    </w:rPr>
  </w:style>
  <w:style w:type="paragraph" w:styleId="BalloonText">
    <w:name w:val="Balloon Text"/>
    <w:basedOn w:val="Normal"/>
    <w:link w:val="BalloonTextChar"/>
    <w:rsid w:val="008939E0"/>
    <w:rPr>
      <w:rFonts w:ascii="Tahoma" w:hAnsi="Tahoma" w:cs="Tahoma"/>
      <w:sz w:val="16"/>
      <w:szCs w:val="16"/>
    </w:rPr>
  </w:style>
  <w:style w:type="character" w:customStyle="1" w:styleId="BalloonTextChar">
    <w:name w:val="Balloon Text Char"/>
    <w:link w:val="BalloonText"/>
    <w:rsid w:val="008939E0"/>
    <w:rPr>
      <w:rFonts w:ascii="Tahoma" w:hAnsi="Tahoma" w:cs="Tahoma"/>
      <w:sz w:val="16"/>
      <w:szCs w:val="16"/>
    </w:rPr>
  </w:style>
  <w:style w:type="paragraph" w:styleId="Footer">
    <w:name w:val="footer"/>
    <w:basedOn w:val="Normal"/>
    <w:link w:val="FooterChar"/>
    <w:rsid w:val="008939E0"/>
    <w:pPr>
      <w:tabs>
        <w:tab w:val="center" w:pos="4680"/>
        <w:tab w:val="right" w:pos="9360"/>
      </w:tabs>
    </w:pPr>
  </w:style>
  <w:style w:type="character" w:customStyle="1" w:styleId="FooterChar">
    <w:name w:val="Footer Char"/>
    <w:basedOn w:val="DefaultParagraphFont"/>
    <w:link w:val="Footer"/>
    <w:rsid w:val="008939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7</cp:revision>
  <cp:lastPrinted>2000-06-16T18:28:00Z</cp:lastPrinted>
  <dcterms:created xsi:type="dcterms:W3CDTF">2014-01-27T20:55:00Z</dcterms:created>
  <dcterms:modified xsi:type="dcterms:W3CDTF">2014-01-30T00:01:00Z</dcterms:modified>
</cp:coreProperties>
</file>