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97" w:rsidRDefault="00CC284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May 5, 2011</w:t>
      </w: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42397" w:rsidRP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28"/>
          <w:szCs w:val="28"/>
        </w:rPr>
      </w:pPr>
      <w:r>
        <w:rPr>
          <w:rFonts w:ascii="Arial" w:hAnsi="Arial" w:cs="Arial"/>
          <w:sz w:val="28"/>
          <w:szCs w:val="28"/>
        </w:rPr>
        <w:t>REVISION OF SECTIONS 412, 601, AND 711</w:t>
      </w:r>
      <w:r>
        <w:rPr>
          <w:rFonts w:ascii="Arial" w:hAnsi="Arial" w:cs="Arial"/>
          <w:sz w:val="28"/>
          <w:szCs w:val="28"/>
        </w:rPr>
        <w:br/>
      </w:r>
      <w:r w:rsidRPr="00342397">
        <w:rPr>
          <w:rFonts w:ascii="Arial" w:hAnsi="Arial" w:cs="Arial"/>
          <w:sz w:val="28"/>
          <w:szCs w:val="28"/>
        </w:rPr>
        <w:t xml:space="preserve">LIQUID MEMBRANE-FORMING COMPOUNDS </w:t>
      </w:r>
      <w:r w:rsidRPr="00342397">
        <w:rPr>
          <w:rFonts w:ascii="Arial" w:hAnsi="Arial" w:cs="Arial"/>
          <w:sz w:val="28"/>
          <w:szCs w:val="28"/>
        </w:rPr>
        <w:br/>
        <w:t>FOR CURING CONCRETE</w:t>
      </w: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DC793C">
        <w:rPr>
          <w:rFonts w:ascii="Times New Roman" w:hAnsi="Times New Roman" w:cs="Times New Roman"/>
          <w:sz w:val="28"/>
          <w:szCs w:val="28"/>
        </w:rPr>
        <w:t xml:space="preserve">.  </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w:t>
      </w:r>
      <w:proofErr w:type="gramStart"/>
      <w:r>
        <w:rPr>
          <w:rFonts w:ascii="Times New Roman" w:hAnsi="Times New Roman" w:cs="Times New Roman"/>
          <w:sz w:val="28"/>
          <w:szCs w:val="28"/>
        </w:rPr>
        <w:t>manner</w:t>
      </w:r>
      <w:proofErr w:type="gramEnd"/>
      <w:r>
        <w:rPr>
          <w:rFonts w:ascii="Times New Roman" w:hAnsi="Times New Roman" w:cs="Times New Roman"/>
          <w:sz w:val="28"/>
          <w:szCs w:val="28"/>
        </w:rPr>
        <w:t xml:space="preserve"> other than that specified in the instructions unless such use is first approved by CDOT’s Standards and Specifications Unit.  The instructions for use on CDOT construction projects appear below.</w:t>
      </w: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42397" w:rsidRDefault="003423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342397" w:rsidRDefault="0034239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 xml:space="preserve">Use on projects having </w:t>
      </w:r>
      <w:r w:rsidR="002A6FC5">
        <w:rPr>
          <w:rFonts w:ascii="Times New Roman" w:hAnsi="Times New Roman" w:cs="Times New Roman"/>
          <w:sz w:val="28"/>
          <w:szCs w:val="28"/>
        </w:rPr>
        <w:t xml:space="preserve">any type of </w:t>
      </w:r>
      <w:r w:rsidR="00732A7C">
        <w:rPr>
          <w:rFonts w:ascii="Times New Roman" w:hAnsi="Times New Roman" w:cs="Times New Roman"/>
          <w:sz w:val="28"/>
          <w:szCs w:val="28"/>
        </w:rPr>
        <w:t xml:space="preserve">concrete </w:t>
      </w:r>
      <w:r w:rsidR="002A6FC5">
        <w:rPr>
          <w:rFonts w:ascii="Times New Roman" w:hAnsi="Times New Roman" w:cs="Times New Roman"/>
          <w:sz w:val="28"/>
          <w:szCs w:val="28"/>
        </w:rPr>
        <w:t>construction</w:t>
      </w:r>
      <w:r w:rsidR="00732A7C">
        <w:rPr>
          <w:rFonts w:ascii="Times New Roman" w:hAnsi="Times New Roman" w:cs="Times New Roman"/>
          <w:sz w:val="28"/>
          <w:szCs w:val="28"/>
        </w:rPr>
        <w:t>.</w:t>
      </w:r>
    </w:p>
    <w:p w:rsidR="00342397" w:rsidRDefault="00342397">
      <w:pPr>
        <w:rPr>
          <w:rFonts w:ascii="Arial" w:hAnsi="Arial" w:cs="Arial"/>
          <w:sz w:val="20"/>
          <w:szCs w:val="20"/>
        </w:rPr>
      </w:pPr>
      <w:r>
        <w:rPr>
          <w:rFonts w:ascii="Arial" w:hAnsi="Arial" w:cs="Arial"/>
          <w:sz w:val="20"/>
          <w:szCs w:val="20"/>
        </w:rPr>
        <w:br w:type="page"/>
      </w:r>
    </w:p>
    <w:p w:rsidR="00342397" w:rsidRDefault="00CC284F" w:rsidP="00CC284F">
      <w:pPr>
        <w:jc w:val="right"/>
        <w:rPr>
          <w:rFonts w:ascii="Arial" w:hAnsi="Arial" w:cs="Arial"/>
          <w:sz w:val="20"/>
          <w:szCs w:val="20"/>
        </w:rPr>
      </w:pPr>
      <w:r>
        <w:rPr>
          <w:rFonts w:ascii="Arial" w:hAnsi="Arial" w:cs="Arial"/>
          <w:sz w:val="20"/>
          <w:szCs w:val="20"/>
        </w:rPr>
        <w:lastRenderedPageBreak/>
        <w:t>May 5, 2011</w:t>
      </w:r>
    </w:p>
    <w:p w:rsidR="00F130B1" w:rsidRPr="005E5D16" w:rsidRDefault="00F130B1" w:rsidP="005E5D16">
      <w:pPr>
        <w:pStyle w:val="NoSpacing"/>
        <w:jc w:val="center"/>
        <w:rPr>
          <w:rFonts w:ascii="Arial" w:hAnsi="Arial" w:cs="Arial"/>
          <w:sz w:val="20"/>
          <w:szCs w:val="20"/>
        </w:rPr>
      </w:pPr>
      <w:r w:rsidRPr="005E5D16">
        <w:rPr>
          <w:rFonts w:ascii="Arial" w:hAnsi="Arial" w:cs="Arial"/>
          <w:sz w:val="20"/>
          <w:szCs w:val="20"/>
        </w:rPr>
        <w:t>REVISION OF SECTIONS 412, 601 AND 711</w:t>
      </w:r>
      <w:r w:rsidR="005E5D16" w:rsidRPr="005E5D16">
        <w:rPr>
          <w:rFonts w:ascii="Arial" w:hAnsi="Arial" w:cs="Arial"/>
          <w:sz w:val="20"/>
          <w:szCs w:val="20"/>
        </w:rPr>
        <w:br/>
      </w:r>
      <w:r w:rsidRPr="005E5D16">
        <w:rPr>
          <w:rFonts w:ascii="Arial" w:hAnsi="Arial" w:cs="Arial"/>
          <w:sz w:val="20"/>
          <w:szCs w:val="20"/>
        </w:rPr>
        <w:t xml:space="preserve">LIQUID MEMBRANE-FORMING COMPOUNDS </w:t>
      </w:r>
      <w:r w:rsidRPr="005E5D16">
        <w:rPr>
          <w:rFonts w:ascii="Arial" w:hAnsi="Arial" w:cs="Arial"/>
          <w:sz w:val="20"/>
          <w:szCs w:val="20"/>
        </w:rPr>
        <w:br/>
        <w:t>FOR CURING CONCRETE</w:t>
      </w:r>
    </w:p>
    <w:p w:rsidR="005E5D16" w:rsidRDefault="005E5D16" w:rsidP="005E5D16">
      <w:pPr>
        <w:pStyle w:val="NoSpacing"/>
        <w:jc w:val="center"/>
      </w:pPr>
    </w:p>
    <w:p w:rsidR="00F130B1" w:rsidRDefault="00F130B1" w:rsidP="00F130B1">
      <w:pPr>
        <w:rPr>
          <w:rFonts w:ascii="Arial" w:hAnsi="Arial" w:cs="Arial"/>
          <w:sz w:val="20"/>
          <w:szCs w:val="20"/>
        </w:rPr>
      </w:pPr>
      <w:r>
        <w:rPr>
          <w:rFonts w:ascii="Arial" w:hAnsi="Arial" w:cs="Arial"/>
          <w:sz w:val="20"/>
          <w:szCs w:val="20"/>
        </w:rPr>
        <w:t xml:space="preserve">Sections 412, 601 and 711 of the Standard Specifications </w:t>
      </w:r>
      <w:r w:rsidR="002A6FC5">
        <w:rPr>
          <w:rFonts w:ascii="Arial" w:hAnsi="Arial" w:cs="Arial"/>
          <w:sz w:val="20"/>
          <w:szCs w:val="20"/>
        </w:rPr>
        <w:t>are</w:t>
      </w:r>
      <w:r>
        <w:rPr>
          <w:rFonts w:ascii="Arial" w:hAnsi="Arial" w:cs="Arial"/>
          <w:sz w:val="20"/>
          <w:szCs w:val="20"/>
        </w:rPr>
        <w:t xml:space="preserve"> hereby revised for this project as follows:</w:t>
      </w:r>
    </w:p>
    <w:p w:rsidR="00F130B1" w:rsidRDefault="00F130B1" w:rsidP="00F130B1">
      <w:pPr>
        <w:rPr>
          <w:rFonts w:ascii="Arial" w:hAnsi="Arial" w:cs="Arial"/>
          <w:sz w:val="20"/>
          <w:szCs w:val="20"/>
        </w:rPr>
      </w:pPr>
      <w:r>
        <w:rPr>
          <w:rFonts w:ascii="Arial" w:hAnsi="Arial" w:cs="Arial"/>
          <w:sz w:val="20"/>
          <w:szCs w:val="20"/>
        </w:rPr>
        <w:t>In subsection 412.14, first paragraph, delete the second sentence and replace with the following:</w:t>
      </w:r>
    </w:p>
    <w:p w:rsidR="00F130B1" w:rsidRDefault="00F130B1" w:rsidP="00F130B1">
      <w:pPr>
        <w:rPr>
          <w:rFonts w:ascii="Arial" w:hAnsi="Arial" w:cs="Arial"/>
          <w:sz w:val="20"/>
          <w:szCs w:val="20"/>
        </w:rPr>
      </w:pPr>
      <w:r>
        <w:rPr>
          <w:rFonts w:ascii="Arial" w:hAnsi="Arial" w:cs="Arial"/>
          <w:sz w:val="20"/>
          <w:szCs w:val="20"/>
        </w:rPr>
        <w:t>The impervious membrane curing compound shall meet the requirements of ASTM C 309, Type 2 and s</w:t>
      </w:r>
      <w:r w:rsidR="009A367C">
        <w:rPr>
          <w:rFonts w:ascii="Arial" w:hAnsi="Arial" w:cs="Arial"/>
          <w:sz w:val="20"/>
          <w:szCs w:val="20"/>
        </w:rPr>
        <w:t>hall be volatile organic content (VOC) compliant.</w:t>
      </w:r>
    </w:p>
    <w:p w:rsidR="00EE433F" w:rsidRDefault="00EE433F" w:rsidP="00F130B1">
      <w:pPr>
        <w:rPr>
          <w:rFonts w:ascii="Arial" w:hAnsi="Arial" w:cs="Arial"/>
          <w:sz w:val="20"/>
          <w:szCs w:val="20"/>
        </w:rPr>
      </w:pPr>
      <w:r>
        <w:rPr>
          <w:rFonts w:ascii="Arial" w:hAnsi="Arial" w:cs="Arial"/>
          <w:sz w:val="20"/>
          <w:szCs w:val="20"/>
        </w:rPr>
        <w:t>In subsection 601.13 (b), first paragraph, delete the second sentence and replace with the following:</w:t>
      </w:r>
    </w:p>
    <w:p w:rsidR="009A367C" w:rsidRDefault="00EE433F" w:rsidP="00EE433F">
      <w:pPr>
        <w:rPr>
          <w:rFonts w:ascii="Arial" w:hAnsi="Arial" w:cs="Arial"/>
          <w:sz w:val="20"/>
          <w:szCs w:val="20"/>
        </w:rPr>
      </w:pPr>
      <w:r w:rsidRPr="00EE433F">
        <w:rPr>
          <w:rFonts w:ascii="Arial" w:hAnsi="Arial" w:cs="Arial"/>
          <w:sz w:val="20"/>
          <w:szCs w:val="20"/>
        </w:rPr>
        <w:t>A volatile organic content (VOC) compliant curing compound</w:t>
      </w:r>
      <w:r>
        <w:rPr>
          <w:rFonts w:ascii="Arial" w:hAnsi="Arial" w:cs="Arial"/>
          <w:sz w:val="20"/>
          <w:szCs w:val="20"/>
        </w:rPr>
        <w:t xml:space="preserve"> </w:t>
      </w:r>
      <w:r w:rsidRPr="00EE433F">
        <w:rPr>
          <w:rFonts w:ascii="Arial" w:hAnsi="Arial" w:cs="Arial"/>
          <w:sz w:val="20"/>
          <w:szCs w:val="20"/>
        </w:rPr>
        <w:t xml:space="preserve">conforming to </w:t>
      </w:r>
      <w:r>
        <w:rPr>
          <w:rFonts w:ascii="Arial" w:hAnsi="Arial" w:cs="Arial"/>
          <w:sz w:val="20"/>
          <w:szCs w:val="20"/>
        </w:rPr>
        <w:t>ASTM C 309</w:t>
      </w:r>
      <w:r w:rsidRPr="00EE433F">
        <w:rPr>
          <w:rFonts w:ascii="Arial" w:hAnsi="Arial" w:cs="Arial"/>
          <w:sz w:val="20"/>
          <w:szCs w:val="20"/>
        </w:rPr>
        <w:t>, Type 2 shall be used on surfaces where</w:t>
      </w:r>
      <w:r>
        <w:rPr>
          <w:rFonts w:ascii="Arial" w:hAnsi="Arial" w:cs="Arial"/>
          <w:sz w:val="20"/>
          <w:szCs w:val="20"/>
        </w:rPr>
        <w:t xml:space="preserve"> </w:t>
      </w:r>
      <w:r w:rsidRPr="00EE433F">
        <w:rPr>
          <w:rFonts w:ascii="Arial" w:hAnsi="Arial" w:cs="Arial"/>
          <w:sz w:val="20"/>
          <w:szCs w:val="20"/>
        </w:rPr>
        <w:t>curing compound is allowed, except that Type 1 curing compound shall</w:t>
      </w:r>
      <w:r>
        <w:rPr>
          <w:rFonts w:ascii="Arial" w:hAnsi="Arial" w:cs="Arial"/>
          <w:sz w:val="20"/>
          <w:szCs w:val="20"/>
        </w:rPr>
        <w:t xml:space="preserve"> </w:t>
      </w:r>
      <w:r w:rsidRPr="00EE433F">
        <w:rPr>
          <w:rFonts w:ascii="Arial" w:hAnsi="Arial" w:cs="Arial"/>
          <w:sz w:val="20"/>
          <w:szCs w:val="20"/>
        </w:rPr>
        <w:t>be used on exposed aggregate or colored concrete, or when directed by</w:t>
      </w:r>
      <w:r>
        <w:rPr>
          <w:rFonts w:ascii="Arial" w:hAnsi="Arial" w:cs="Arial"/>
          <w:sz w:val="20"/>
          <w:szCs w:val="20"/>
        </w:rPr>
        <w:t xml:space="preserve"> </w:t>
      </w:r>
      <w:r w:rsidRPr="00EE433F">
        <w:rPr>
          <w:rFonts w:ascii="Arial" w:hAnsi="Arial" w:cs="Arial"/>
          <w:sz w:val="20"/>
          <w:szCs w:val="20"/>
        </w:rPr>
        <w:t>the Engineer.</w:t>
      </w:r>
    </w:p>
    <w:p w:rsidR="0085050B" w:rsidRDefault="0085050B" w:rsidP="00EE433F">
      <w:pPr>
        <w:rPr>
          <w:rFonts w:ascii="Arial" w:hAnsi="Arial" w:cs="Arial"/>
          <w:sz w:val="20"/>
          <w:szCs w:val="20"/>
        </w:rPr>
      </w:pPr>
      <w:r>
        <w:rPr>
          <w:rFonts w:ascii="Arial" w:hAnsi="Arial" w:cs="Arial"/>
          <w:sz w:val="20"/>
          <w:szCs w:val="20"/>
        </w:rPr>
        <w:t xml:space="preserve">In subsection 601.16 (a) </w:t>
      </w:r>
      <w:proofErr w:type="gramStart"/>
      <w:r>
        <w:rPr>
          <w:rFonts w:ascii="Arial" w:hAnsi="Arial" w:cs="Arial"/>
          <w:sz w:val="20"/>
          <w:szCs w:val="20"/>
        </w:rPr>
        <w:t>1.,</w:t>
      </w:r>
      <w:proofErr w:type="gramEnd"/>
      <w:r>
        <w:rPr>
          <w:rFonts w:ascii="Arial" w:hAnsi="Arial" w:cs="Arial"/>
          <w:sz w:val="20"/>
          <w:szCs w:val="20"/>
        </w:rPr>
        <w:t xml:space="preserve"> delete the first sentence and replace with the following:</w:t>
      </w:r>
    </w:p>
    <w:p w:rsidR="00EE433F" w:rsidRDefault="0085050B" w:rsidP="0085050B">
      <w:pPr>
        <w:pStyle w:val="ListParagraph"/>
        <w:numPr>
          <w:ilvl w:val="0"/>
          <w:numId w:val="1"/>
        </w:numPr>
        <w:rPr>
          <w:rFonts w:ascii="Arial" w:hAnsi="Arial" w:cs="Arial"/>
          <w:sz w:val="20"/>
          <w:szCs w:val="20"/>
        </w:rPr>
      </w:pPr>
      <w:r w:rsidRPr="0085050B">
        <w:rPr>
          <w:rFonts w:ascii="Arial" w:hAnsi="Arial" w:cs="Arial"/>
          <w:sz w:val="20"/>
          <w:szCs w:val="20"/>
        </w:rPr>
        <w:t>Membrane Forming Curing Compound Method. A volatile organic content (VOC) compliant curing compound conforming to ASTM C 309, Type 2 shall be uniformly applied to the surface of the deck, curbs and sidewalks at the rate of 1 gallon per 100 square feet.</w:t>
      </w:r>
    </w:p>
    <w:p w:rsidR="0085050B" w:rsidRDefault="0085050B" w:rsidP="0085050B">
      <w:pPr>
        <w:rPr>
          <w:rFonts w:ascii="Arial" w:hAnsi="Arial" w:cs="Arial"/>
          <w:sz w:val="20"/>
          <w:szCs w:val="20"/>
        </w:rPr>
      </w:pPr>
      <w:r>
        <w:rPr>
          <w:rFonts w:ascii="Arial" w:hAnsi="Arial" w:cs="Arial"/>
          <w:sz w:val="20"/>
          <w:szCs w:val="20"/>
        </w:rPr>
        <w:t xml:space="preserve">Delete subsection 711.01 and replace with the following: </w:t>
      </w:r>
    </w:p>
    <w:p w:rsidR="0085050B" w:rsidRDefault="0085050B" w:rsidP="0085050B">
      <w:pPr>
        <w:autoSpaceDE w:val="0"/>
        <w:autoSpaceDN w:val="0"/>
        <w:adjustRightInd w:val="0"/>
        <w:spacing w:after="0" w:line="240" w:lineRule="auto"/>
        <w:rPr>
          <w:rFonts w:ascii="Arial" w:eastAsia="TimesNewRomanPS" w:hAnsi="Arial" w:cs="Arial"/>
          <w:sz w:val="20"/>
          <w:szCs w:val="20"/>
        </w:rPr>
      </w:pPr>
      <w:r w:rsidRPr="0085050B">
        <w:rPr>
          <w:rFonts w:ascii="Arial" w:hAnsi="Arial" w:cs="Arial"/>
          <w:b/>
          <w:bCs/>
          <w:sz w:val="20"/>
          <w:szCs w:val="20"/>
        </w:rPr>
        <w:t xml:space="preserve">711.01 Curing Materials. </w:t>
      </w:r>
      <w:r w:rsidRPr="0085050B">
        <w:rPr>
          <w:rFonts w:ascii="Arial" w:eastAsia="TimesNewRomanPS" w:hAnsi="Arial" w:cs="Arial"/>
          <w:sz w:val="20"/>
          <w:szCs w:val="20"/>
        </w:rPr>
        <w:t>Curing materials shall conform to the following</w:t>
      </w:r>
      <w:r w:rsidR="005E5D16">
        <w:rPr>
          <w:rFonts w:ascii="Arial" w:eastAsia="TimesNewRomanPS" w:hAnsi="Arial" w:cs="Arial"/>
          <w:sz w:val="20"/>
          <w:szCs w:val="20"/>
        </w:rPr>
        <w:t xml:space="preserve"> </w:t>
      </w:r>
      <w:r w:rsidRPr="0085050B">
        <w:rPr>
          <w:rFonts w:ascii="Arial" w:eastAsia="TimesNewRomanPS" w:hAnsi="Arial" w:cs="Arial"/>
          <w:sz w:val="20"/>
          <w:szCs w:val="20"/>
        </w:rPr>
        <w:t>requirements:</w:t>
      </w:r>
    </w:p>
    <w:p w:rsidR="0085050B" w:rsidRDefault="0085050B" w:rsidP="0085050B">
      <w:pPr>
        <w:autoSpaceDE w:val="0"/>
        <w:autoSpaceDN w:val="0"/>
        <w:adjustRightInd w:val="0"/>
        <w:spacing w:after="0" w:line="240" w:lineRule="auto"/>
        <w:rPr>
          <w:rFonts w:ascii="Arial" w:eastAsia="TimesNewRomanPS" w:hAnsi="Arial" w:cs="Arial"/>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845"/>
        <w:gridCol w:w="1743"/>
      </w:tblGrid>
      <w:tr w:rsidR="0085050B" w:rsidTr="00DC793C">
        <w:trPr>
          <w:jc w:val="center"/>
        </w:trPr>
        <w:tc>
          <w:tcPr>
            <w:tcW w:w="4845" w:type="dxa"/>
            <w:shd w:val="clear" w:color="auto" w:fill="D9D9D9" w:themeFill="background1" w:themeFillShade="D9"/>
          </w:tcPr>
          <w:p w:rsidR="0085050B" w:rsidRDefault="0085050B" w:rsidP="005E5D16">
            <w:pPr>
              <w:autoSpaceDE w:val="0"/>
              <w:autoSpaceDN w:val="0"/>
              <w:adjustRightInd w:val="0"/>
              <w:rPr>
                <w:rFonts w:ascii="Arial" w:eastAsia="TimesNewRomanPS" w:hAnsi="Arial" w:cs="Arial"/>
                <w:sz w:val="20"/>
                <w:szCs w:val="20"/>
              </w:rPr>
            </w:pPr>
            <w:r w:rsidRPr="0085050B">
              <w:rPr>
                <w:rFonts w:ascii="Arial" w:eastAsia="TimesNewRomanPS" w:hAnsi="Arial" w:cs="Arial"/>
                <w:sz w:val="20"/>
                <w:szCs w:val="20"/>
              </w:rPr>
              <w:t xml:space="preserve">Burlap Cloth made from Jute or </w:t>
            </w:r>
            <w:proofErr w:type="spellStart"/>
            <w:r w:rsidRPr="0085050B">
              <w:rPr>
                <w:rFonts w:ascii="Arial" w:eastAsia="TimesNewRomanPS" w:hAnsi="Arial" w:cs="Arial"/>
                <w:sz w:val="20"/>
                <w:szCs w:val="20"/>
              </w:rPr>
              <w:t>Kenaf</w:t>
            </w:r>
            <w:proofErr w:type="spellEnd"/>
          </w:p>
        </w:tc>
        <w:tc>
          <w:tcPr>
            <w:tcW w:w="1743" w:type="dxa"/>
            <w:shd w:val="clear" w:color="auto" w:fill="D9D9D9" w:themeFill="background1" w:themeFillShade="D9"/>
          </w:tcPr>
          <w:p w:rsidR="0085050B" w:rsidRDefault="0085050B" w:rsidP="005E5D16">
            <w:pPr>
              <w:autoSpaceDE w:val="0"/>
              <w:autoSpaceDN w:val="0"/>
              <w:adjustRightInd w:val="0"/>
              <w:jc w:val="center"/>
              <w:rPr>
                <w:rFonts w:ascii="Arial" w:eastAsia="TimesNewRomanPS" w:hAnsi="Arial" w:cs="Arial"/>
                <w:sz w:val="20"/>
                <w:szCs w:val="20"/>
              </w:rPr>
            </w:pPr>
            <w:r>
              <w:rPr>
                <w:rFonts w:ascii="Arial" w:eastAsia="TimesNewRomanPS" w:hAnsi="Arial" w:cs="Arial"/>
                <w:sz w:val="20"/>
                <w:szCs w:val="20"/>
              </w:rPr>
              <w:t>AASHTO M 182</w:t>
            </w:r>
          </w:p>
        </w:tc>
      </w:tr>
      <w:tr w:rsidR="0085050B" w:rsidTr="00DC793C">
        <w:trPr>
          <w:jc w:val="center"/>
        </w:trPr>
        <w:tc>
          <w:tcPr>
            <w:tcW w:w="4845" w:type="dxa"/>
            <w:tcBorders>
              <w:bottom w:val="nil"/>
            </w:tcBorders>
          </w:tcPr>
          <w:p w:rsidR="0085050B" w:rsidRPr="0085050B" w:rsidRDefault="0085050B" w:rsidP="005E5D16">
            <w:pPr>
              <w:autoSpaceDE w:val="0"/>
              <w:autoSpaceDN w:val="0"/>
              <w:adjustRightInd w:val="0"/>
              <w:rPr>
                <w:rFonts w:ascii="Arial" w:eastAsia="TimesNewRomanPS" w:hAnsi="Arial" w:cs="Arial"/>
                <w:sz w:val="20"/>
                <w:szCs w:val="20"/>
              </w:rPr>
            </w:pPr>
            <w:r w:rsidRPr="0085050B">
              <w:rPr>
                <w:rFonts w:ascii="Arial" w:eastAsia="TimesNewRomanPS" w:hAnsi="Arial" w:cs="Arial"/>
                <w:sz w:val="20"/>
                <w:szCs w:val="20"/>
              </w:rPr>
              <w:t>Liquid Membrane-Forming Compounds for</w:t>
            </w:r>
          </w:p>
          <w:p w:rsidR="0085050B" w:rsidRDefault="0085050B" w:rsidP="005E5D16">
            <w:pPr>
              <w:autoSpaceDE w:val="0"/>
              <w:autoSpaceDN w:val="0"/>
              <w:adjustRightInd w:val="0"/>
              <w:rPr>
                <w:rFonts w:ascii="Arial" w:eastAsia="TimesNewRomanPS" w:hAnsi="Arial" w:cs="Arial"/>
                <w:sz w:val="20"/>
                <w:szCs w:val="20"/>
              </w:rPr>
            </w:pPr>
            <w:r w:rsidRPr="0085050B">
              <w:rPr>
                <w:rFonts w:ascii="Arial" w:eastAsia="TimesNewRomanPS" w:hAnsi="Arial" w:cs="Arial"/>
                <w:sz w:val="20"/>
                <w:szCs w:val="20"/>
              </w:rPr>
              <w:t>Curing Concrete</w:t>
            </w:r>
          </w:p>
        </w:tc>
        <w:tc>
          <w:tcPr>
            <w:tcW w:w="1743" w:type="dxa"/>
            <w:tcBorders>
              <w:bottom w:val="nil"/>
            </w:tcBorders>
          </w:tcPr>
          <w:p w:rsidR="005E5D16" w:rsidRDefault="005E5D16" w:rsidP="005E5D16">
            <w:pPr>
              <w:autoSpaceDE w:val="0"/>
              <w:autoSpaceDN w:val="0"/>
              <w:adjustRightInd w:val="0"/>
              <w:jc w:val="center"/>
              <w:rPr>
                <w:rFonts w:ascii="Arial" w:eastAsia="TimesNewRomanPS" w:hAnsi="Arial" w:cs="Arial"/>
                <w:sz w:val="20"/>
                <w:szCs w:val="20"/>
              </w:rPr>
            </w:pPr>
          </w:p>
          <w:p w:rsidR="0085050B" w:rsidRDefault="0085050B" w:rsidP="005E5D16">
            <w:pPr>
              <w:autoSpaceDE w:val="0"/>
              <w:autoSpaceDN w:val="0"/>
              <w:adjustRightInd w:val="0"/>
              <w:jc w:val="center"/>
              <w:rPr>
                <w:rFonts w:ascii="Arial" w:eastAsia="TimesNewRomanPS" w:hAnsi="Arial" w:cs="Arial"/>
                <w:sz w:val="20"/>
                <w:szCs w:val="20"/>
              </w:rPr>
            </w:pPr>
            <w:r>
              <w:rPr>
                <w:rFonts w:ascii="Arial" w:eastAsia="TimesNewRomanPS" w:hAnsi="Arial" w:cs="Arial"/>
                <w:sz w:val="20"/>
                <w:szCs w:val="20"/>
              </w:rPr>
              <w:t>ASTM C 309</w:t>
            </w:r>
          </w:p>
        </w:tc>
      </w:tr>
      <w:tr w:rsidR="0085050B" w:rsidTr="00DC793C">
        <w:trPr>
          <w:jc w:val="center"/>
        </w:trPr>
        <w:tc>
          <w:tcPr>
            <w:tcW w:w="4845" w:type="dxa"/>
            <w:tcBorders>
              <w:top w:val="nil"/>
              <w:bottom w:val="single" w:sz="4" w:space="0" w:color="auto"/>
            </w:tcBorders>
            <w:shd w:val="clear" w:color="auto" w:fill="D9D9D9" w:themeFill="background1" w:themeFillShade="D9"/>
          </w:tcPr>
          <w:p w:rsidR="0085050B" w:rsidRDefault="0085050B" w:rsidP="005E5D16">
            <w:pPr>
              <w:autoSpaceDE w:val="0"/>
              <w:autoSpaceDN w:val="0"/>
              <w:adjustRightInd w:val="0"/>
              <w:rPr>
                <w:rFonts w:ascii="Arial" w:eastAsia="TimesNewRomanPS" w:hAnsi="Arial" w:cs="Arial"/>
                <w:sz w:val="20"/>
                <w:szCs w:val="20"/>
              </w:rPr>
            </w:pPr>
            <w:r w:rsidRPr="0085050B">
              <w:rPr>
                <w:rFonts w:ascii="Arial" w:eastAsia="TimesNewRomanPS" w:hAnsi="Arial" w:cs="Arial"/>
                <w:sz w:val="20"/>
                <w:szCs w:val="20"/>
              </w:rPr>
              <w:t>Sheet Materials for Curing Concrete</w:t>
            </w:r>
          </w:p>
        </w:tc>
        <w:tc>
          <w:tcPr>
            <w:tcW w:w="1743" w:type="dxa"/>
            <w:tcBorders>
              <w:top w:val="nil"/>
              <w:bottom w:val="single" w:sz="4" w:space="0" w:color="auto"/>
            </w:tcBorders>
            <w:shd w:val="clear" w:color="auto" w:fill="D9D9D9" w:themeFill="background1" w:themeFillShade="D9"/>
          </w:tcPr>
          <w:p w:rsidR="0085050B" w:rsidRDefault="0085050B" w:rsidP="005E5D16">
            <w:pPr>
              <w:autoSpaceDE w:val="0"/>
              <w:autoSpaceDN w:val="0"/>
              <w:adjustRightInd w:val="0"/>
              <w:jc w:val="center"/>
              <w:rPr>
                <w:rFonts w:ascii="Arial" w:eastAsia="TimesNewRomanPS" w:hAnsi="Arial" w:cs="Arial"/>
                <w:sz w:val="20"/>
                <w:szCs w:val="20"/>
              </w:rPr>
            </w:pPr>
            <w:r>
              <w:rPr>
                <w:rFonts w:ascii="Arial" w:eastAsia="TimesNewRomanPS" w:hAnsi="Arial" w:cs="Arial"/>
                <w:sz w:val="20"/>
                <w:szCs w:val="20"/>
              </w:rPr>
              <w:t>AASHTO M 171*</w:t>
            </w:r>
          </w:p>
        </w:tc>
      </w:tr>
      <w:tr w:rsidR="0085050B" w:rsidTr="00DC793C">
        <w:trPr>
          <w:jc w:val="center"/>
        </w:trPr>
        <w:tc>
          <w:tcPr>
            <w:tcW w:w="6588" w:type="dxa"/>
            <w:gridSpan w:val="2"/>
            <w:tcBorders>
              <w:top w:val="single" w:sz="4" w:space="0" w:color="auto"/>
            </w:tcBorders>
          </w:tcPr>
          <w:p w:rsidR="0085050B" w:rsidRDefault="0085050B" w:rsidP="005E5D16">
            <w:pPr>
              <w:autoSpaceDE w:val="0"/>
              <w:autoSpaceDN w:val="0"/>
              <w:adjustRightInd w:val="0"/>
              <w:rPr>
                <w:rFonts w:ascii="Arial" w:eastAsia="TimesNewRomanPS" w:hAnsi="Arial" w:cs="Arial"/>
                <w:sz w:val="20"/>
                <w:szCs w:val="20"/>
              </w:rPr>
            </w:pPr>
            <w:r w:rsidRPr="0085050B">
              <w:rPr>
                <w:rFonts w:ascii="Arial" w:eastAsia="TimesNewRomanPS" w:hAnsi="Arial" w:cs="Arial"/>
                <w:sz w:val="20"/>
                <w:szCs w:val="20"/>
              </w:rPr>
              <w:t>*Only the performance requirements of AASHTO M171 shall apply.</w:t>
            </w:r>
          </w:p>
        </w:tc>
      </w:tr>
    </w:tbl>
    <w:p w:rsidR="0085050B" w:rsidRPr="0085050B" w:rsidRDefault="0085050B" w:rsidP="0085050B">
      <w:pPr>
        <w:autoSpaceDE w:val="0"/>
        <w:autoSpaceDN w:val="0"/>
        <w:adjustRightInd w:val="0"/>
        <w:spacing w:after="0" w:line="240" w:lineRule="auto"/>
        <w:rPr>
          <w:rFonts w:ascii="Arial" w:eastAsia="TimesNewRomanPS" w:hAnsi="Arial" w:cs="Arial"/>
          <w:sz w:val="20"/>
          <w:szCs w:val="20"/>
        </w:rPr>
      </w:pPr>
    </w:p>
    <w:p w:rsidR="0085050B" w:rsidRPr="0085050B" w:rsidRDefault="0085050B" w:rsidP="0085050B">
      <w:pPr>
        <w:autoSpaceDE w:val="0"/>
        <w:autoSpaceDN w:val="0"/>
        <w:adjustRightInd w:val="0"/>
        <w:spacing w:after="0" w:line="240" w:lineRule="auto"/>
        <w:rPr>
          <w:rFonts w:ascii="Arial" w:eastAsia="TimesNewRomanPS" w:hAnsi="Arial" w:cs="Arial"/>
          <w:sz w:val="20"/>
          <w:szCs w:val="20"/>
        </w:rPr>
      </w:pPr>
    </w:p>
    <w:p w:rsidR="0085050B" w:rsidRDefault="0085050B" w:rsidP="005E5D16">
      <w:pPr>
        <w:autoSpaceDE w:val="0"/>
        <w:autoSpaceDN w:val="0"/>
        <w:adjustRightInd w:val="0"/>
        <w:spacing w:after="0" w:line="240" w:lineRule="auto"/>
        <w:rPr>
          <w:rFonts w:ascii="Arial" w:hAnsi="Arial" w:cs="Arial"/>
          <w:sz w:val="20"/>
          <w:szCs w:val="20"/>
        </w:rPr>
      </w:pPr>
      <w:r w:rsidRPr="0085050B">
        <w:rPr>
          <w:rFonts w:ascii="Arial" w:eastAsia="TimesNewRomanPS" w:hAnsi="Arial" w:cs="Arial"/>
          <w:sz w:val="20"/>
          <w:szCs w:val="20"/>
        </w:rPr>
        <w:t>Straw used for curing shall consist of threshed straw of oats, barley, wheat, or</w:t>
      </w:r>
      <w:r w:rsidR="005E5D16">
        <w:rPr>
          <w:rFonts w:ascii="Arial" w:eastAsia="TimesNewRomanPS" w:hAnsi="Arial" w:cs="Arial"/>
          <w:sz w:val="20"/>
          <w:szCs w:val="20"/>
        </w:rPr>
        <w:t xml:space="preserve"> </w:t>
      </w:r>
      <w:r w:rsidRPr="0085050B">
        <w:rPr>
          <w:rFonts w:ascii="Arial" w:eastAsia="TimesNewRomanPS" w:hAnsi="Arial" w:cs="Arial"/>
          <w:sz w:val="20"/>
          <w:szCs w:val="20"/>
        </w:rPr>
        <w:t>rye. Clean field or marsh hay may be substituted for straw when approved by the</w:t>
      </w:r>
      <w:r w:rsidR="005E5D16">
        <w:rPr>
          <w:rFonts w:ascii="Arial" w:eastAsia="TimesNewRomanPS" w:hAnsi="Arial" w:cs="Arial"/>
          <w:sz w:val="20"/>
          <w:szCs w:val="20"/>
        </w:rPr>
        <w:t xml:space="preserve"> </w:t>
      </w:r>
      <w:r w:rsidRPr="0085050B">
        <w:rPr>
          <w:rFonts w:ascii="Arial" w:eastAsia="TimesNewRomanPS" w:hAnsi="Arial" w:cs="Arial"/>
          <w:sz w:val="20"/>
          <w:szCs w:val="20"/>
        </w:rPr>
        <w:t>Engineer. Old dry straw or hay which breaks readily in the spreading process will</w:t>
      </w:r>
      <w:r w:rsidR="005E5D16">
        <w:rPr>
          <w:rFonts w:ascii="Arial" w:eastAsia="TimesNewRomanPS" w:hAnsi="Arial" w:cs="Arial"/>
          <w:sz w:val="20"/>
          <w:szCs w:val="20"/>
        </w:rPr>
        <w:t xml:space="preserve"> </w:t>
      </w:r>
      <w:r w:rsidRPr="0085050B">
        <w:rPr>
          <w:rFonts w:ascii="Arial" w:eastAsia="TimesNewRomanPS" w:hAnsi="Arial" w:cs="Arial"/>
          <w:sz w:val="20"/>
          <w:szCs w:val="20"/>
        </w:rPr>
        <w:t>not be accepted.</w:t>
      </w:r>
    </w:p>
    <w:p w:rsidR="0085050B" w:rsidRPr="0085050B" w:rsidRDefault="0085050B" w:rsidP="0085050B">
      <w:pPr>
        <w:rPr>
          <w:rFonts w:ascii="Arial" w:hAnsi="Arial" w:cs="Arial"/>
          <w:sz w:val="20"/>
          <w:szCs w:val="20"/>
        </w:rPr>
      </w:pPr>
    </w:p>
    <w:sectPr w:rsidR="0085050B" w:rsidRPr="0085050B" w:rsidSect="00F130B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C52"/>
    <w:multiLevelType w:val="hybridMultilevel"/>
    <w:tmpl w:val="3B348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B1"/>
    <w:rsid w:val="002A6FC5"/>
    <w:rsid w:val="00342397"/>
    <w:rsid w:val="003D3AF8"/>
    <w:rsid w:val="005E5D16"/>
    <w:rsid w:val="00732A7C"/>
    <w:rsid w:val="0085050B"/>
    <w:rsid w:val="009A367C"/>
    <w:rsid w:val="00A02125"/>
    <w:rsid w:val="00CC284F"/>
    <w:rsid w:val="00DC793C"/>
    <w:rsid w:val="00EE433F"/>
    <w:rsid w:val="00F1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0B"/>
    <w:pPr>
      <w:ind w:left="720"/>
      <w:contextualSpacing/>
    </w:pPr>
  </w:style>
  <w:style w:type="table" w:styleId="TableGrid">
    <w:name w:val="Table Grid"/>
    <w:basedOn w:val="TableNormal"/>
    <w:uiPriority w:val="59"/>
    <w:rsid w:val="00850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0B"/>
    <w:pPr>
      <w:ind w:left="720"/>
      <w:contextualSpacing/>
    </w:pPr>
  </w:style>
  <w:style w:type="table" w:styleId="TableGrid">
    <w:name w:val="Table Grid"/>
    <w:basedOn w:val="TableNormal"/>
    <w:uiPriority w:val="59"/>
    <w:rsid w:val="00850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5621-FB64-443E-B134-40C72486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2</cp:revision>
  <dcterms:created xsi:type="dcterms:W3CDTF">2011-05-05T20:33:00Z</dcterms:created>
  <dcterms:modified xsi:type="dcterms:W3CDTF">2011-05-05T20:33:00Z</dcterms:modified>
</cp:coreProperties>
</file>