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267D4" w14:textId="6C6CFB3C" w:rsidR="00551BB3" w:rsidRDefault="00551BB3" w:rsidP="00551B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April 2</w:t>
      </w:r>
      <w:r w:rsidR="004934BB">
        <w:rPr>
          <w:rFonts w:ascii="Arial" w:hAnsi="Arial" w:cs="Arial"/>
          <w:sz w:val="28"/>
          <w:szCs w:val="28"/>
        </w:rPr>
        <w:t>5</w:t>
      </w:r>
      <w:r>
        <w:rPr>
          <w:rFonts w:ascii="Arial" w:hAnsi="Arial" w:cs="Arial"/>
          <w:sz w:val="28"/>
          <w:szCs w:val="28"/>
        </w:rPr>
        <w:t>, 2018</w:t>
      </w:r>
    </w:p>
    <w:p w14:paraId="74860CC6" w14:textId="77777777" w:rsidR="00551BB3" w:rsidRDefault="00551BB3" w:rsidP="00551B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55A50330" w14:textId="49E8E90E" w:rsidR="00551BB3" w:rsidRDefault="00551BB3" w:rsidP="00551B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213</w:t>
      </w:r>
    </w:p>
    <w:p w14:paraId="36781AA2" w14:textId="2BF14E15" w:rsidR="00551BB3" w:rsidRDefault="00551BB3" w:rsidP="00551B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MULCHING</w:t>
      </w:r>
    </w:p>
    <w:p w14:paraId="38A29CA8" w14:textId="77777777" w:rsidR="00551BB3" w:rsidRDefault="00551BB3" w:rsidP="00551B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5160B0C6" w14:textId="77777777" w:rsidR="00551BB3" w:rsidRDefault="00551BB3" w:rsidP="00551B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056A6A4F" w14:textId="77777777" w:rsidR="00551BB3" w:rsidRDefault="00551BB3" w:rsidP="00551B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5E7D0C06" w14:textId="77777777" w:rsidR="00551BB3" w:rsidRDefault="00551BB3" w:rsidP="00551B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E432C46" w14:textId="77777777" w:rsidR="00551BB3" w:rsidRDefault="00551BB3" w:rsidP="00551B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206816C" w14:textId="77777777" w:rsidR="00551BB3" w:rsidRDefault="00551BB3" w:rsidP="00551B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7EA00025" w14:textId="77777777" w:rsidR="00551BB3" w:rsidRDefault="00551BB3" w:rsidP="00551B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B328BA4" w14:textId="77777777" w:rsidR="00551BB3" w:rsidRDefault="00551BB3" w:rsidP="00551B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3D240AB0" w14:textId="77777777" w:rsidR="00551BB3" w:rsidRDefault="00551BB3" w:rsidP="00551B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ABAE24C" w14:textId="77777777" w:rsidR="00551BB3" w:rsidRDefault="00551BB3" w:rsidP="00551B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5E8847B6" w14:textId="77777777" w:rsidR="00551BB3" w:rsidRDefault="00551BB3" w:rsidP="00551B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D34039C" w14:textId="39443A4B" w:rsidR="00551BB3" w:rsidRDefault="00551BB3" w:rsidP="00551BB3">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in </w:t>
      </w:r>
      <w:r w:rsidR="003328A3">
        <w:rPr>
          <w:sz w:val="28"/>
          <w:szCs w:val="28"/>
        </w:rPr>
        <w:t xml:space="preserve">projects </w:t>
      </w:r>
      <w:r w:rsidR="00A5561F">
        <w:rPr>
          <w:sz w:val="28"/>
          <w:szCs w:val="28"/>
        </w:rPr>
        <w:t>having</w:t>
      </w:r>
      <w:r w:rsidR="003328A3">
        <w:rPr>
          <w:sz w:val="28"/>
          <w:szCs w:val="28"/>
        </w:rPr>
        <w:t xml:space="preserve"> mulch</w:t>
      </w:r>
      <w:r>
        <w:rPr>
          <w:sz w:val="28"/>
          <w:szCs w:val="28"/>
        </w:rPr>
        <w:t>.</w:t>
      </w:r>
    </w:p>
    <w:p w14:paraId="1B28BFEB" w14:textId="77777777" w:rsidR="00747449" w:rsidRDefault="00747449" w:rsidP="00D939FB"/>
    <w:p w14:paraId="6337FD72" w14:textId="746942B5" w:rsidR="00551BB3" w:rsidRDefault="00551BB3">
      <w:pPr>
        <w:rPr>
          <w:b/>
          <w:sz w:val="22"/>
          <w:szCs w:val="22"/>
        </w:rPr>
      </w:pPr>
      <w:r>
        <w:rPr>
          <w:b/>
          <w:sz w:val="22"/>
          <w:szCs w:val="22"/>
        </w:rPr>
        <w:br w:type="page"/>
      </w:r>
    </w:p>
    <w:p w14:paraId="070478ED" w14:textId="4DCC7358" w:rsidR="00747449" w:rsidRDefault="00AA51A0" w:rsidP="001D443A">
      <w:pPr>
        <w:rPr>
          <w:rFonts w:eastAsia="TimesNewRomanPS"/>
          <w:sz w:val="22"/>
          <w:szCs w:val="22"/>
        </w:rPr>
      </w:pPr>
      <w:r w:rsidRPr="001D443A">
        <w:rPr>
          <w:rFonts w:eastAsia="TimesNewRomanPS"/>
          <w:sz w:val="22"/>
          <w:szCs w:val="22"/>
        </w:rPr>
        <w:lastRenderedPageBreak/>
        <w:t xml:space="preserve">Section </w:t>
      </w:r>
      <w:r w:rsidR="00434AB2" w:rsidRPr="001D443A">
        <w:rPr>
          <w:rFonts w:eastAsia="TimesNewRomanPS"/>
          <w:sz w:val="22"/>
          <w:szCs w:val="22"/>
        </w:rPr>
        <w:t>213</w:t>
      </w:r>
      <w:r w:rsidRPr="001D443A">
        <w:rPr>
          <w:rFonts w:eastAsia="TimesNewRomanPS"/>
          <w:sz w:val="22"/>
          <w:szCs w:val="22"/>
        </w:rPr>
        <w:t xml:space="preserve"> of the Standard Specifications is hereby revised for this project as follows:</w:t>
      </w:r>
    </w:p>
    <w:p w14:paraId="3771C63E" w14:textId="77777777" w:rsidR="0047762C" w:rsidRPr="001D443A" w:rsidRDefault="0047762C" w:rsidP="001D443A">
      <w:pPr>
        <w:rPr>
          <w:rFonts w:eastAsia="TimesNewRomanPS"/>
          <w:sz w:val="22"/>
          <w:szCs w:val="22"/>
        </w:rPr>
      </w:pPr>
    </w:p>
    <w:p w14:paraId="2D8F1248" w14:textId="562D2925" w:rsidR="008C70FB" w:rsidRPr="003D1E40" w:rsidRDefault="004617E0" w:rsidP="004617E0">
      <w:pPr>
        <w:tabs>
          <w:tab w:val="left" w:pos="1060"/>
        </w:tabs>
        <w:rPr>
          <w:color w:val="FF0000"/>
        </w:rPr>
      </w:pPr>
      <w:bookmarkStart w:id="0" w:name="_GoBack"/>
      <w:bookmarkEnd w:id="0"/>
      <w:r w:rsidRPr="003D1E40">
        <w:rPr>
          <w:color w:val="FF0000"/>
        </w:rPr>
        <w:t>Delete subsection 213.02 (f)(1) and replace with the following:</w:t>
      </w:r>
    </w:p>
    <w:p w14:paraId="1112B615" w14:textId="77777777" w:rsidR="004617E0" w:rsidRPr="004617E0" w:rsidRDefault="004617E0" w:rsidP="004617E0">
      <w:pPr>
        <w:tabs>
          <w:tab w:val="left" w:pos="1060"/>
        </w:tabs>
      </w:pPr>
    </w:p>
    <w:p w14:paraId="4697D875" w14:textId="230575A7" w:rsidR="008C70FB" w:rsidRPr="006F5DB4" w:rsidRDefault="008C70FB" w:rsidP="006F5DB4">
      <w:pPr>
        <w:pStyle w:val="ListParagraph"/>
        <w:numPr>
          <w:ilvl w:val="0"/>
          <w:numId w:val="24"/>
        </w:numPr>
        <w:spacing w:after="160" w:line="259" w:lineRule="auto"/>
      </w:pPr>
      <w:r w:rsidRPr="00A9169D">
        <w:rPr>
          <w:rFonts w:ascii="Times New Roman" w:hAnsi="Times New Roman"/>
        </w:rPr>
        <w:t xml:space="preserve">Spray-on Mulch Blanket (Type 1) shall be a hydraulically applied matrix containing organic fibers, water soluble cross-linked </w:t>
      </w:r>
      <w:proofErr w:type="spellStart"/>
      <w:r w:rsidRPr="00A9169D">
        <w:rPr>
          <w:rFonts w:ascii="Times New Roman" w:hAnsi="Times New Roman"/>
        </w:rPr>
        <w:t>tackifier</w:t>
      </w:r>
      <w:proofErr w:type="spellEnd"/>
      <w:r w:rsidRPr="00A9169D">
        <w:rPr>
          <w:rFonts w:ascii="Times New Roman" w:hAnsi="Times New Roman"/>
        </w:rPr>
        <w:t>, and reinforcing biodegradable fibers. The reinforcing fibers shall completely break down and not release any metals or toxins (compostable).  Mulch Blanket (Type 1) shall conform to the following:</w:t>
      </w:r>
    </w:p>
    <w:tbl>
      <w:tblPr>
        <w:tblW w:w="0" w:type="auto"/>
        <w:tblInd w:w="706" w:type="dxa"/>
        <w:tblLayout w:type="fixed"/>
        <w:tblCellMar>
          <w:left w:w="0" w:type="dxa"/>
          <w:right w:w="0" w:type="dxa"/>
        </w:tblCellMar>
        <w:tblLook w:val="0000" w:firstRow="0" w:lastRow="0" w:firstColumn="0" w:lastColumn="0" w:noHBand="0" w:noVBand="0"/>
      </w:tblPr>
      <w:tblGrid>
        <w:gridCol w:w="3168"/>
        <w:gridCol w:w="1728"/>
        <w:gridCol w:w="1584"/>
      </w:tblGrid>
      <w:tr w:rsidR="008C70FB" w:rsidRPr="00A9169D" w14:paraId="711805D3" w14:textId="77777777" w:rsidTr="00B20AA9">
        <w:trPr>
          <w:trHeight w:hRule="exact" w:val="318"/>
        </w:trPr>
        <w:tc>
          <w:tcPr>
            <w:tcW w:w="3168" w:type="dxa"/>
            <w:tcBorders>
              <w:top w:val="single" w:sz="11" w:space="0" w:color="000000"/>
              <w:left w:val="single" w:sz="11" w:space="0" w:color="000000"/>
              <w:bottom w:val="single" w:sz="11" w:space="0" w:color="000000"/>
              <w:right w:val="single" w:sz="4" w:space="0" w:color="000000"/>
            </w:tcBorders>
          </w:tcPr>
          <w:p w14:paraId="4A57E2A9" w14:textId="77777777" w:rsidR="008C70FB" w:rsidRPr="00A9169D" w:rsidRDefault="008C70FB" w:rsidP="00B20AA9">
            <w:pPr>
              <w:pStyle w:val="TableParagraph"/>
              <w:kinsoku w:val="0"/>
              <w:overflowPunct w:val="0"/>
              <w:spacing w:before="24"/>
              <w:ind w:left="93"/>
              <w:rPr>
                <w:sz w:val="22"/>
                <w:szCs w:val="22"/>
              </w:rPr>
            </w:pPr>
            <w:r w:rsidRPr="00A9169D">
              <w:rPr>
                <w:b/>
                <w:bCs/>
                <w:sz w:val="22"/>
                <w:szCs w:val="22"/>
              </w:rPr>
              <w:t>Properties</w:t>
            </w:r>
          </w:p>
        </w:tc>
        <w:tc>
          <w:tcPr>
            <w:tcW w:w="1728" w:type="dxa"/>
            <w:tcBorders>
              <w:top w:val="single" w:sz="11" w:space="0" w:color="000000"/>
              <w:left w:val="single" w:sz="4" w:space="0" w:color="000000"/>
              <w:bottom w:val="single" w:sz="11" w:space="0" w:color="000000"/>
              <w:right w:val="single" w:sz="4" w:space="0" w:color="000000"/>
            </w:tcBorders>
          </w:tcPr>
          <w:p w14:paraId="289F454A" w14:textId="77777777" w:rsidR="008C70FB" w:rsidRPr="00A9169D" w:rsidRDefault="008C70FB" w:rsidP="00B20AA9">
            <w:pPr>
              <w:pStyle w:val="TableParagraph"/>
              <w:kinsoku w:val="0"/>
              <w:overflowPunct w:val="0"/>
              <w:spacing w:before="24"/>
              <w:ind w:left="103"/>
              <w:rPr>
                <w:sz w:val="22"/>
                <w:szCs w:val="22"/>
              </w:rPr>
            </w:pPr>
            <w:r w:rsidRPr="00A9169D">
              <w:rPr>
                <w:b/>
                <w:bCs/>
                <w:sz w:val="22"/>
                <w:szCs w:val="22"/>
              </w:rPr>
              <w:t>Requirement</w:t>
            </w:r>
          </w:p>
        </w:tc>
        <w:tc>
          <w:tcPr>
            <w:tcW w:w="1584" w:type="dxa"/>
            <w:tcBorders>
              <w:top w:val="single" w:sz="11" w:space="0" w:color="000000"/>
              <w:left w:val="single" w:sz="4" w:space="0" w:color="000000"/>
              <w:bottom w:val="single" w:sz="12" w:space="0" w:color="000000"/>
              <w:right w:val="single" w:sz="11" w:space="0" w:color="000000"/>
            </w:tcBorders>
          </w:tcPr>
          <w:p w14:paraId="0131DDD6" w14:textId="77777777" w:rsidR="008C70FB" w:rsidRPr="00A9169D" w:rsidRDefault="008C70FB" w:rsidP="00B20AA9">
            <w:pPr>
              <w:pStyle w:val="TableParagraph"/>
              <w:kinsoku w:val="0"/>
              <w:overflowPunct w:val="0"/>
              <w:spacing w:before="24"/>
              <w:ind w:left="7"/>
              <w:rPr>
                <w:sz w:val="22"/>
                <w:szCs w:val="22"/>
              </w:rPr>
            </w:pPr>
            <w:r w:rsidRPr="00A9169D">
              <w:rPr>
                <w:b/>
                <w:bCs/>
                <w:spacing w:val="-6"/>
                <w:sz w:val="22"/>
                <w:szCs w:val="22"/>
              </w:rPr>
              <w:t>Test</w:t>
            </w:r>
            <w:r w:rsidRPr="00A9169D">
              <w:rPr>
                <w:b/>
                <w:bCs/>
                <w:spacing w:val="1"/>
                <w:sz w:val="22"/>
                <w:szCs w:val="22"/>
              </w:rPr>
              <w:t xml:space="preserve"> </w:t>
            </w:r>
            <w:r w:rsidRPr="00A9169D">
              <w:rPr>
                <w:b/>
                <w:bCs/>
                <w:sz w:val="22"/>
                <w:szCs w:val="22"/>
              </w:rPr>
              <w:t>Method</w:t>
            </w:r>
          </w:p>
        </w:tc>
      </w:tr>
      <w:tr w:rsidR="008C70FB" w:rsidRPr="00A9169D" w14:paraId="35ADEC41" w14:textId="77777777" w:rsidTr="00B20AA9">
        <w:trPr>
          <w:trHeight w:hRule="exact" w:val="308"/>
        </w:trPr>
        <w:tc>
          <w:tcPr>
            <w:tcW w:w="3168" w:type="dxa"/>
            <w:tcBorders>
              <w:top w:val="single" w:sz="11" w:space="0" w:color="000000"/>
              <w:left w:val="single" w:sz="11" w:space="0" w:color="000000"/>
              <w:bottom w:val="single" w:sz="4" w:space="0" w:color="000000"/>
              <w:right w:val="single" w:sz="4" w:space="0" w:color="000000"/>
            </w:tcBorders>
            <w:shd w:val="clear" w:color="auto" w:fill="C0C0C0"/>
          </w:tcPr>
          <w:p w14:paraId="41A45A80" w14:textId="77777777" w:rsidR="008C70FB" w:rsidRPr="00A9169D" w:rsidRDefault="008C70FB" w:rsidP="00B20AA9">
            <w:pPr>
              <w:pStyle w:val="TableParagraph"/>
              <w:kinsoku w:val="0"/>
              <w:overflowPunct w:val="0"/>
              <w:spacing w:before="18"/>
              <w:ind w:left="93"/>
              <w:rPr>
                <w:sz w:val="22"/>
                <w:szCs w:val="22"/>
              </w:rPr>
            </w:pPr>
            <w:r w:rsidRPr="00A9169D">
              <w:rPr>
                <w:sz w:val="22"/>
                <w:szCs w:val="22"/>
              </w:rPr>
              <w:t>Organic</w:t>
            </w:r>
            <w:r w:rsidRPr="00A9169D">
              <w:rPr>
                <w:spacing w:val="-13"/>
                <w:sz w:val="22"/>
                <w:szCs w:val="22"/>
              </w:rPr>
              <w:t xml:space="preserve"> </w:t>
            </w:r>
            <w:r w:rsidRPr="00A9169D">
              <w:rPr>
                <w:sz w:val="22"/>
                <w:szCs w:val="22"/>
              </w:rPr>
              <w:t>Fibers</w:t>
            </w:r>
          </w:p>
        </w:tc>
        <w:tc>
          <w:tcPr>
            <w:tcW w:w="1728" w:type="dxa"/>
            <w:tcBorders>
              <w:top w:val="single" w:sz="11" w:space="0" w:color="000000"/>
              <w:left w:val="single" w:sz="4" w:space="0" w:color="000000"/>
              <w:bottom w:val="single" w:sz="4" w:space="0" w:color="000000"/>
              <w:right w:val="single" w:sz="4" w:space="0" w:color="000000"/>
            </w:tcBorders>
            <w:shd w:val="clear" w:color="auto" w:fill="C0C0C0"/>
          </w:tcPr>
          <w:p w14:paraId="5930C6A0" w14:textId="77777777" w:rsidR="008C70FB" w:rsidRPr="00A9169D" w:rsidRDefault="008C70FB" w:rsidP="00B20AA9">
            <w:pPr>
              <w:pStyle w:val="TableParagraph"/>
              <w:kinsoku w:val="0"/>
              <w:overflowPunct w:val="0"/>
              <w:spacing w:before="18"/>
              <w:ind w:left="103"/>
              <w:rPr>
                <w:sz w:val="22"/>
                <w:szCs w:val="22"/>
              </w:rPr>
            </w:pPr>
            <w:r w:rsidRPr="00A9169D">
              <w:rPr>
                <w:sz w:val="22"/>
                <w:szCs w:val="22"/>
              </w:rPr>
              <w:t>71%</w:t>
            </w:r>
            <w:r w:rsidRPr="00A9169D">
              <w:rPr>
                <w:spacing w:val="-4"/>
                <w:sz w:val="22"/>
                <w:szCs w:val="22"/>
              </w:rPr>
              <w:t xml:space="preserve"> </w:t>
            </w:r>
            <w:r w:rsidRPr="00A9169D">
              <w:rPr>
                <w:sz w:val="22"/>
                <w:szCs w:val="22"/>
              </w:rPr>
              <w:t>Min.</w:t>
            </w:r>
          </w:p>
        </w:tc>
        <w:tc>
          <w:tcPr>
            <w:tcW w:w="1584" w:type="dxa"/>
            <w:tcBorders>
              <w:top w:val="single" w:sz="11" w:space="0" w:color="000000"/>
              <w:left w:val="single" w:sz="4" w:space="0" w:color="000000"/>
              <w:bottom w:val="single" w:sz="4" w:space="0" w:color="000000"/>
              <w:right w:val="single" w:sz="11" w:space="0" w:color="000000"/>
            </w:tcBorders>
            <w:shd w:val="clear" w:color="auto" w:fill="C0C0C0"/>
          </w:tcPr>
          <w:p w14:paraId="3F40D811" w14:textId="77777777" w:rsidR="008C70FB" w:rsidRPr="00A9169D" w:rsidRDefault="008C70FB" w:rsidP="00B20AA9">
            <w:pPr>
              <w:pStyle w:val="TableParagraph"/>
              <w:kinsoku w:val="0"/>
              <w:overflowPunct w:val="0"/>
              <w:spacing w:before="18"/>
              <w:ind w:left="7"/>
              <w:rPr>
                <w:sz w:val="22"/>
                <w:szCs w:val="22"/>
              </w:rPr>
            </w:pPr>
            <w:r w:rsidRPr="00A9169D">
              <w:rPr>
                <w:sz w:val="22"/>
                <w:szCs w:val="22"/>
              </w:rPr>
              <w:t>ASTM</w:t>
            </w:r>
            <w:r w:rsidRPr="00A9169D">
              <w:rPr>
                <w:spacing w:val="-3"/>
                <w:sz w:val="22"/>
                <w:szCs w:val="22"/>
              </w:rPr>
              <w:t xml:space="preserve"> </w:t>
            </w:r>
            <w:r w:rsidRPr="00A9169D">
              <w:rPr>
                <w:sz w:val="22"/>
                <w:szCs w:val="22"/>
              </w:rPr>
              <w:t>D2974</w:t>
            </w:r>
          </w:p>
        </w:tc>
      </w:tr>
      <w:tr w:rsidR="008C70FB" w:rsidRPr="00A9169D" w14:paraId="757CE3F1" w14:textId="77777777" w:rsidTr="00B20AA9">
        <w:trPr>
          <w:trHeight w:hRule="exact" w:val="298"/>
        </w:trPr>
        <w:tc>
          <w:tcPr>
            <w:tcW w:w="3168" w:type="dxa"/>
            <w:tcBorders>
              <w:top w:val="single" w:sz="4" w:space="0" w:color="000000"/>
              <w:left w:val="single" w:sz="11" w:space="0" w:color="000000"/>
              <w:bottom w:val="single" w:sz="4" w:space="0" w:color="000000"/>
              <w:right w:val="single" w:sz="4" w:space="0" w:color="000000"/>
            </w:tcBorders>
          </w:tcPr>
          <w:p w14:paraId="6C4D388D" w14:textId="77777777" w:rsidR="008C70FB" w:rsidRPr="00A9169D" w:rsidRDefault="008C70FB" w:rsidP="00B20AA9">
            <w:pPr>
              <w:pStyle w:val="TableParagraph"/>
              <w:kinsoku w:val="0"/>
              <w:overflowPunct w:val="0"/>
              <w:spacing w:before="19"/>
              <w:ind w:left="93"/>
              <w:rPr>
                <w:sz w:val="22"/>
                <w:szCs w:val="22"/>
              </w:rPr>
            </w:pPr>
            <w:r w:rsidRPr="00A9169D">
              <w:rPr>
                <w:sz w:val="22"/>
                <w:szCs w:val="22"/>
              </w:rPr>
              <w:t>Cross linked</w:t>
            </w:r>
            <w:r w:rsidRPr="00A9169D">
              <w:rPr>
                <w:spacing w:val="-31"/>
                <w:sz w:val="22"/>
                <w:szCs w:val="22"/>
              </w:rPr>
              <w:t xml:space="preserve"> </w:t>
            </w:r>
            <w:proofErr w:type="spellStart"/>
            <w:r w:rsidRPr="00A9169D">
              <w:rPr>
                <w:sz w:val="22"/>
                <w:szCs w:val="22"/>
              </w:rPr>
              <w:t>Tackifiers</w:t>
            </w:r>
            <w:proofErr w:type="spellEnd"/>
          </w:p>
        </w:tc>
        <w:tc>
          <w:tcPr>
            <w:tcW w:w="1728" w:type="dxa"/>
            <w:tcBorders>
              <w:top w:val="single" w:sz="4" w:space="0" w:color="000000"/>
              <w:left w:val="single" w:sz="4" w:space="0" w:color="000000"/>
              <w:bottom w:val="single" w:sz="4" w:space="0" w:color="000000"/>
              <w:right w:val="single" w:sz="4" w:space="0" w:color="000000"/>
            </w:tcBorders>
          </w:tcPr>
          <w:p w14:paraId="697F693D" w14:textId="77777777" w:rsidR="008C70FB" w:rsidRPr="00A9169D" w:rsidRDefault="008C70FB" w:rsidP="00B20AA9">
            <w:pPr>
              <w:pStyle w:val="TableParagraph"/>
              <w:kinsoku w:val="0"/>
              <w:overflowPunct w:val="0"/>
              <w:spacing w:before="19"/>
              <w:ind w:left="103"/>
              <w:rPr>
                <w:sz w:val="22"/>
                <w:szCs w:val="22"/>
              </w:rPr>
            </w:pPr>
            <w:r w:rsidRPr="00A9169D">
              <w:rPr>
                <w:sz w:val="22"/>
                <w:szCs w:val="22"/>
              </w:rPr>
              <w:t>10% ± 2%</w:t>
            </w:r>
            <w:r w:rsidRPr="00A9169D">
              <w:rPr>
                <w:spacing w:val="-6"/>
                <w:sz w:val="22"/>
                <w:szCs w:val="22"/>
              </w:rPr>
              <w:t xml:space="preserve"> </w:t>
            </w:r>
            <w:r w:rsidRPr="00A9169D">
              <w:rPr>
                <w:sz w:val="22"/>
                <w:szCs w:val="22"/>
              </w:rPr>
              <w:t>Min.</w:t>
            </w:r>
          </w:p>
        </w:tc>
        <w:tc>
          <w:tcPr>
            <w:tcW w:w="1584" w:type="dxa"/>
            <w:tcBorders>
              <w:top w:val="single" w:sz="4" w:space="0" w:color="000000"/>
              <w:left w:val="single" w:sz="4" w:space="0" w:color="000000"/>
              <w:bottom w:val="single" w:sz="4" w:space="0" w:color="000000"/>
              <w:right w:val="single" w:sz="11" w:space="0" w:color="000000"/>
            </w:tcBorders>
          </w:tcPr>
          <w:p w14:paraId="57F53847" w14:textId="77777777" w:rsidR="008C70FB" w:rsidRPr="00A9169D" w:rsidRDefault="008C70FB" w:rsidP="00B20AA9">
            <w:pPr>
              <w:rPr>
                <w:sz w:val="22"/>
                <w:szCs w:val="22"/>
              </w:rPr>
            </w:pPr>
          </w:p>
        </w:tc>
      </w:tr>
      <w:tr w:rsidR="008C70FB" w:rsidRPr="00A9169D" w14:paraId="5AB9FF53" w14:textId="77777777" w:rsidTr="00B20AA9">
        <w:trPr>
          <w:trHeight w:hRule="exact" w:val="586"/>
        </w:trPr>
        <w:tc>
          <w:tcPr>
            <w:tcW w:w="3168" w:type="dxa"/>
            <w:tcBorders>
              <w:top w:val="single" w:sz="4" w:space="0" w:color="000000"/>
              <w:left w:val="single" w:sz="11" w:space="0" w:color="000000"/>
              <w:bottom w:val="single" w:sz="4" w:space="0" w:color="000000"/>
              <w:right w:val="single" w:sz="4" w:space="0" w:color="000000"/>
            </w:tcBorders>
            <w:shd w:val="clear" w:color="auto" w:fill="C0C0C0"/>
          </w:tcPr>
          <w:p w14:paraId="534180D2" w14:textId="77777777" w:rsidR="008C70FB" w:rsidRPr="00A9169D" w:rsidRDefault="008C70FB" w:rsidP="00B20AA9">
            <w:pPr>
              <w:pStyle w:val="TableParagraph"/>
              <w:kinsoku w:val="0"/>
              <w:overflowPunct w:val="0"/>
              <w:spacing w:before="19"/>
              <w:ind w:left="93"/>
              <w:rPr>
                <w:sz w:val="22"/>
                <w:szCs w:val="22"/>
              </w:rPr>
            </w:pPr>
            <w:r w:rsidRPr="00A9169D">
              <w:rPr>
                <w:sz w:val="22"/>
                <w:szCs w:val="22"/>
              </w:rPr>
              <w:t>Reinforcing Fibers</w:t>
            </w:r>
          </w:p>
        </w:tc>
        <w:tc>
          <w:tcPr>
            <w:tcW w:w="1728" w:type="dxa"/>
            <w:tcBorders>
              <w:top w:val="single" w:sz="4" w:space="0" w:color="000000"/>
              <w:left w:val="single" w:sz="4" w:space="0" w:color="000000"/>
              <w:bottom w:val="single" w:sz="4" w:space="0" w:color="000000"/>
              <w:right w:val="single" w:sz="4" w:space="0" w:color="000000"/>
            </w:tcBorders>
            <w:shd w:val="clear" w:color="auto" w:fill="C0C0C0"/>
          </w:tcPr>
          <w:p w14:paraId="12F7E444" w14:textId="77777777" w:rsidR="008C70FB" w:rsidRPr="00A9169D" w:rsidRDefault="008C70FB" w:rsidP="00B20AA9">
            <w:pPr>
              <w:pStyle w:val="TableParagraph"/>
              <w:kinsoku w:val="0"/>
              <w:overflowPunct w:val="0"/>
              <w:spacing w:before="19"/>
              <w:ind w:left="103"/>
              <w:rPr>
                <w:sz w:val="22"/>
                <w:szCs w:val="22"/>
              </w:rPr>
            </w:pPr>
            <w:r w:rsidRPr="00A9169D">
              <w:rPr>
                <w:sz w:val="22"/>
                <w:szCs w:val="22"/>
              </w:rPr>
              <w:t>2.5% Min.</w:t>
            </w:r>
          </w:p>
        </w:tc>
        <w:tc>
          <w:tcPr>
            <w:tcW w:w="1584" w:type="dxa"/>
            <w:tcBorders>
              <w:top w:val="single" w:sz="4" w:space="0" w:color="000000"/>
              <w:left w:val="single" w:sz="4" w:space="0" w:color="000000"/>
              <w:bottom w:val="single" w:sz="4" w:space="0" w:color="000000"/>
              <w:right w:val="single" w:sz="11" w:space="0" w:color="000000"/>
            </w:tcBorders>
            <w:shd w:val="clear" w:color="auto" w:fill="C0C0C0"/>
          </w:tcPr>
          <w:p w14:paraId="4AFCAE5D" w14:textId="77777777" w:rsidR="008C70FB" w:rsidRPr="00A9169D" w:rsidRDefault="008C70FB" w:rsidP="00B20AA9">
            <w:pPr>
              <w:rPr>
                <w:sz w:val="22"/>
                <w:szCs w:val="22"/>
              </w:rPr>
            </w:pPr>
          </w:p>
        </w:tc>
      </w:tr>
      <w:tr w:rsidR="008C70FB" w:rsidRPr="00A9169D" w14:paraId="318402DA" w14:textId="77777777" w:rsidTr="00B20AA9">
        <w:trPr>
          <w:trHeight w:hRule="exact" w:val="298"/>
        </w:trPr>
        <w:tc>
          <w:tcPr>
            <w:tcW w:w="3168" w:type="dxa"/>
            <w:tcBorders>
              <w:top w:val="single" w:sz="4" w:space="0" w:color="000000"/>
              <w:left w:val="single" w:sz="11" w:space="0" w:color="000000"/>
              <w:bottom w:val="single" w:sz="4" w:space="0" w:color="000000"/>
              <w:right w:val="single" w:sz="4" w:space="0" w:color="000000"/>
            </w:tcBorders>
          </w:tcPr>
          <w:p w14:paraId="2C84EF51" w14:textId="77777777" w:rsidR="008C70FB" w:rsidRPr="00A9169D" w:rsidRDefault="008C70FB" w:rsidP="00B20AA9">
            <w:pPr>
              <w:pStyle w:val="TableParagraph"/>
              <w:kinsoku w:val="0"/>
              <w:overflowPunct w:val="0"/>
              <w:spacing w:before="19"/>
              <w:ind w:left="93"/>
              <w:rPr>
                <w:sz w:val="22"/>
                <w:szCs w:val="22"/>
              </w:rPr>
            </w:pPr>
            <w:r w:rsidRPr="00A9169D">
              <w:rPr>
                <w:sz w:val="22"/>
                <w:szCs w:val="22"/>
              </w:rPr>
              <w:t>Biodegradability</w:t>
            </w:r>
          </w:p>
        </w:tc>
        <w:tc>
          <w:tcPr>
            <w:tcW w:w="1728" w:type="dxa"/>
            <w:tcBorders>
              <w:top w:val="single" w:sz="4" w:space="0" w:color="000000"/>
              <w:left w:val="single" w:sz="4" w:space="0" w:color="000000"/>
              <w:bottom w:val="single" w:sz="4" w:space="0" w:color="000000"/>
              <w:right w:val="single" w:sz="4" w:space="0" w:color="000000"/>
            </w:tcBorders>
          </w:tcPr>
          <w:p w14:paraId="02DDB9F1" w14:textId="77777777" w:rsidR="008C70FB" w:rsidRPr="00A9169D" w:rsidRDefault="008C70FB" w:rsidP="00B20AA9">
            <w:pPr>
              <w:pStyle w:val="TableParagraph"/>
              <w:kinsoku w:val="0"/>
              <w:overflowPunct w:val="0"/>
              <w:spacing w:before="19"/>
              <w:ind w:left="103"/>
              <w:rPr>
                <w:sz w:val="22"/>
                <w:szCs w:val="22"/>
              </w:rPr>
            </w:pPr>
            <w:r w:rsidRPr="00A9169D">
              <w:rPr>
                <w:sz w:val="22"/>
                <w:szCs w:val="22"/>
              </w:rPr>
              <w:t>100%</w:t>
            </w:r>
          </w:p>
        </w:tc>
        <w:tc>
          <w:tcPr>
            <w:tcW w:w="1584" w:type="dxa"/>
            <w:tcBorders>
              <w:top w:val="single" w:sz="4" w:space="0" w:color="000000"/>
              <w:left w:val="single" w:sz="4" w:space="0" w:color="000000"/>
              <w:bottom w:val="single" w:sz="4" w:space="0" w:color="000000"/>
              <w:right w:val="single" w:sz="11" w:space="0" w:color="000000"/>
            </w:tcBorders>
          </w:tcPr>
          <w:p w14:paraId="0F32F8EB" w14:textId="77777777" w:rsidR="008C70FB" w:rsidRPr="00A9169D" w:rsidRDefault="008C70FB" w:rsidP="00B20AA9">
            <w:pPr>
              <w:pStyle w:val="TableParagraph"/>
              <w:kinsoku w:val="0"/>
              <w:overflowPunct w:val="0"/>
              <w:spacing w:before="19"/>
              <w:ind w:left="7"/>
              <w:rPr>
                <w:sz w:val="22"/>
                <w:szCs w:val="22"/>
              </w:rPr>
            </w:pPr>
            <w:r w:rsidRPr="00A9169D">
              <w:rPr>
                <w:sz w:val="22"/>
                <w:szCs w:val="22"/>
              </w:rPr>
              <w:t>ASTM</w:t>
            </w:r>
            <w:r w:rsidRPr="00A9169D">
              <w:rPr>
                <w:spacing w:val="-3"/>
                <w:sz w:val="22"/>
                <w:szCs w:val="22"/>
              </w:rPr>
              <w:t xml:space="preserve"> </w:t>
            </w:r>
            <w:r w:rsidRPr="00A9169D">
              <w:rPr>
                <w:sz w:val="22"/>
                <w:szCs w:val="22"/>
              </w:rPr>
              <w:t>D5338</w:t>
            </w:r>
          </w:p>
        </w:tc>
      </w:tr>
      <w:tr w:rsidR="008C70FB" w:rsidRPr="00A9169D" w14:paraId="3E641F1C" w14:textId="77777777" w:rsidTr="00B20AA9">
        <w:trPr>
          <w:trHeight w:hRule="exact" w:val="298"/>
        </w:trPr>
        <w:tc>
          <w:tcPr>
            <w:tcW w:w="3168" w:type="dxa"/>
            <w:tcBorders>
              <w:top w:val="single" w:sz="4" w:space="0" w:color="000000"/>
              <w:left w:val="single" w:sz="11" w:space="0" w:color="000000"/>
              <w:bottom w:val="single" w:sz="4" w:space="0" w:color="000000"/>
              <w:right w:val="single" w:sz="4" w:space="0" w:color="000000"/>
            </w:tcBorders>
            <w:shd w:val="clear" w:color="auto" w:fill="C0C0C0"/>
          </w:tcPr>
          <w:p w14:paraId="306E2782" w14:textId="77777777" w:rsidR="008C70FB" w:rsidRPr="00A9169D" w:rsidRDefault="008C70FB" w:rsidP="00B20AA9">
            <w:pPr>
              <w:pStyle w:val="TableParagraph"/>
              <w:kinsoku w:val="0"/>
              <w:overflowPunct w:val="0"/>
              <w:spacing w:before="19"/>
              <w:ind w:left="93"/>
              <w:rPr>
                <w:sz w:val="22"/>
                <w:szCs w:val="22"/>
              </w:rPr>
            </w:pPr>
            <w:r w:rsidRPr="00A9169D">
              <w:rPr>
                <w:sz w:val="22"/>
                <w:szCs w:val="22"/>
              </w:rPr>
              <w:t>Ground Cover at Application</w:t>
            </w:r>
            <w:r w:rsidRPr="00A9169D">
              <w:rPr>
                <w:spacing w:val="-28"/>
                <w:sz w:val="22"/>
                <w:szCs w:val="22"/>
              </w:rPr>
              <w:t xml:space="preserve"> </w:t>
            </w:r>
            <w:r w:rsidRPr="00A9169D">
              <w:rPr>
                <w:sz w:val="22"/>
                <w:szCs w:val="22"/>
              </w:rPr>
              <w:t>Rate</w:t>
            </w:r>
          </w:p>
        </w:tc>
        <w:tc>
          <w:tcPr>
            <w:tcW w:w="1728" w:type="dxa"/>
            <w:tcBorders>
              <w:top w:val="single" w:sz="4" w:space="0" w:color="000000"/>
              <w:left w:val="single" w:sz="4" w:space="0" w:color="000000"/>
              <w:bottom w:val="single" w:sz="4" w:space="0" w:color="000000"/>
              <w:right w:val="single" w:sz="4" w:space="0" w:color="000000"/>
            </w:tcBorders>
            <w:shd w:val="clear" w:color="auto" w:fill="C0C0C0"/>
          </w:tcPr>
          <w:p w14:paraId="0CEE768E" w14:textId="77777777" w:rsidR="008C70FB" w:rsidRPr="00A9169D" w:rsidRDefault="008C70FB" w:rsidP="00B20AA9">
            <w:pPr>
              <w:pStyle w:val="TableParagraph"/>
              <w:kinsoku w:val="0"/>
              <w:overflowPunct w:val="0"/>
              <w:spacing w:before="19"/>
              <w:ind w:left="103"/>
              <w:rPr>
                <w:sz w:val="22"/>
                <w:szCs w:val="22"/>
              </w:rPr>
            </w:pPr>
            <w:r w:rsidRPr="00A9169D">
              <w:rPr>
                <w:sz w:val="22"/>
                <w:szCs w:val="22"/>
              </w:rPr>
              <w:t>90%</w:t>
            </w:r>
            <w:r w:rsidRPr="00A9169D">
              <w:rPr>
                <w:spacing w:val="-4"/>
                <w:sz w:val="22"/>
                <w:szCs w:val="22"/>
              </w:rPr>
              <w:t xml:space="preserve"> </w:t>
            </w:r>
            <w:r w:rsidRPr="00A9169D">
              <w:rPr>
                <w:sz w:val="22"/>
                <w:szCs w:val="22"/>
              </w:rPr>
              <w:t>Min.</w:t>
            </w:r>
          </w:p>
        </w:tc>
        <w:tc>
          <w:tcPr>
            <w:tcW w:w="1584" w:type="dxa"/>
            <w:tcBorders>
              <w:top w:val="single" w:sz="4" w:space="0" w:color="000000"/>
              <w:left w:val="single" w:sz="4" w:space="0" w:color="000000"/>
              <w:bottom w:val="single" w:sz="4" w:space="0" w:color="000000"/>
              <w:right w:val="single" w:sz="11" w:space="0" w:color="000000"/>
            </w:tcBorders>
            <w:shd w:val="clear" w:color="auto" w:fill="C0C0C0"/>
          </w:tcPr>
          <w:p w14:paraId="3346CE46" w14:textId="77777777" w:rsidR="008C70FB" w:rsidRPr="00A9169D" w:rsidRDefault="008C70FB" w:rsidP="00B20AA9">
            <w:pPr>
              <w:pStyle w:val="TableParagraph"/>
              <w:kinsoku w:val="0"/>
              <w:overflowPunct w:val="0"/>
              <w:spacing w:before="19"/>
              <w:ind w:left="7"/>
              <w:rPr>
                <w:sz w:val="22"/>
                <w:szCs w:val="22"/>
              </w:rPr>
            </w:pPr>
            <w:r w:rsidRPr="00A9169D">
              <w:rPr>
                <w:sz w:val="22"/>
                <w:szCs w:val="22"/>
              </w:rPr>
              <w:t>ASTM</w:t>
            </w:r>
            <w:r w:rsidRPr="00A9169D">
              <w:rPr>
                <w:spacing w:val="-3"/>
                <w:sz w:val="22"/>
                <w:szCs w:val="22"/>
              </w:rPr>
              <w:t xml:space="preserve"> </w:t>
            </w:r>
            <w:r w:rsidRPr="00A9169D">
              <w:rPr>
                <w:sz w:val="22"/>
                <w:szCs w:val="22"/>
              </w:rPr>
              <w:t>D6567</w:t>
            </w:r>
          </w:p>
        </w:tc>
      </w:tr>
      <w:tr w:rsidR="008C70FB" w:rsidRPr="00A9169D" w14:paraId="3CB5065D" w14:textId="77777777" w:rsidTr="00B20AA9">
        <w:trPr>
          <w:trHeight w:hRule="exact" w:val="300"/>
        </w:trPr>
        <w:tc>
          <w:tcPr>
            <w:tcW w:w="3168" w:type="dxa"/>
            <w:tcBorders>
              <w:top w:val="single" w:sz="4" w:space="0" w:color="000000"/>
              <w:left w:val="single" w:sz="11" w:space="0" w:color="000000"/>
              <w:bottom w:val="single" w:sz="4" w:space="0" w:color="000000"/>
              <w:right w:val="single" w:sz="4" w:space="0" w:color="000000"/>
            </w:tcBorders>
          </w:tcPr>
          <w:p w14:paraId="220A3A2F" w14:textId="77777777" w:rsidR="008C70FB" w:rsidRPr="00A9169D" w:rsidRDefault="008C70FB" w:rsidP="00B20AA9">
            <w:pPr>
              <w:pStyle w:val="TableParagraph"/>
              <w:kinsoku w:val="0"/>
              <w:overflowPunct w:val="0"/>
              <w:spacing w:before="19"/>
              <w:ind w:left="93"/>
              <w:rPr>
                <w:sz w:val="22"/>
                <w:szCs w:val="22"/>
              </w:rPr>
            </w:pPr>
            <w:r w:rsidRPr="00A9169D">
              <w:rPr>
                <w:sz w:val="22"/>
                <w:szCs w:val="22"/>
              </w:rPr>
              <w:t>Functional</w:t>
            </w:r>
            <w:r w:rsidRPr="00A9169D">
              <w:rPr>
                <w:spacing w:val="-12"/>
                <w:sz w:val="22"/>
                <w:szCs w:val="22"/>
              </w:rPr>
              <w:t xml:space="preserve"> </w:t>
            </w:r>
            <w:r w:rsidRPr="00A9169D">
              <w:rPr>
                <w:sz w:val="22"/>
                <w:szCs w:val="22"/>
              </w:rPr>
              <w:t>Longevity</w:t>
            </w:r>
          </w:p>
        </w:tc>
        <w:tc>
          <w:tcPr>
            <w:tcW w:w="1728" w:type="dxa"/>
            <w:tcBorders>
              <w:top w:val="single" w:sz="4" w:space="0" w:color="000000"/>
              <w:left w:val="single" w:sz="4" w:space="0" w:color="000000"/>
              <w:bottom w:val="single" w:sz="4" w:space="0" w:color="000000"/>
              <w:right w:val="single" w:sz="4" w:space="0" w:color="000000"/>
            </w:tcBorders>
          </w:tcPr>
          <w:p w14:paraId="7D66DBB6" w14:textId="77777777" w:rsidR="008C70FB" w:rsidRPr="00A9169D" w:rsidRDefault="008C70FB" w:rsidP="00B20AA9">
            <w:pPr>
              <w:pStyle w:val="TableParagraph"/>
              <w:kinsoku w:val="0"/>
              <w:overflowPunct w:val="0"/>
              <w:spacing w:before="19"/>
              <w:ind w:left="103"/>
              <w:rPr>
                <w:sz w:val="22"/>
                <w:szCs w:val="22"/>
              </w:rPr>
            </w:pPr>
            <w:r w:rsidRPr="00A9169D">
              <w:rPr>
                <w:sz w:val="22"/>
                <w:szCs w:val="22"/>
              </w:rPr>
              <w:t>12 Months</w:t>
            </w:r>
            <w:r w:rsidRPr="00A9169D">
              <w:rPr>
                <w:spacing w:val="-10"/>
                <w:sz w:val="22"/>
                <w:szCs w:val="22"/>
              </w:rPr>
              <w:t xml:space="preserve"> </w:t>
            </w:r>
            <w:r w:rsidRPr="00A9169D">
              <w:rPr>
                <w:sz w:val="22"/>
                <w:szCs w:val="22"/>
              </w:rPr>
              <w:t>Min.</w:t>
            </w:r>
          </w:p>
        </w:tc>
        <w:tc>
          <w:tcPr>
            <w:tcW w:w="1584" w:type="dxa"/>
            <w:tcBorders>
              <w:top w:val="single" w:sz="4" w:space="0" w:color="000000"/>
              <w:left w:val="single" w:sz="4" w:space="0" w:color="000000"/>
              <w:bottom w:val="single" w:sz="4" w:space="0" w:color="000000"/>
              <w:right w:val="single" w:sz="11" w:space="0" w:color="000000"/>
            </w:tcBorders>
          </w:tcPr>
          <w:p w14:paraId="6E07CF9F" w14:textId="77777777" w:rsidR="008C70FB" w:rsidRPr="00A9169D" w:rsidRDefault="008C70FB" w:rsidP="00B20AA9">
            <w:pPr>
              <w:rPr>
                <w:sz w:val="22"/>
                <w:szCs w:val="22"/>
              </w:rPr>
            </w:pPr>
          </w:p>
        </w:tc>
      </w:tr>
      <w:tr w:rsidR="008C70FB" w:rsidRPr="00A9169D" w14:paraId="5691F49A" w14:textId="77777777" w:rsidTr="00B20AA9">
        <w:trPr>
          <w:trHeight w:hRule="exact" w:val="298"/>
        </w:trPr>
        <w:tc>
          <w:tcPr>
            <w:tcW w:w="3168" w:type="dxa"/>
            <w:tcBorders>
              <w:top w:val="single" w:sz="4" w:space="0" w:color="000000"/>
              <w:left w:val="single" w:sz="11" w:space="0" w:color="000000"/>
              <w:bottom w:val="single" w:sz="4" w:space="0" w:color="000000"/>
              <w:right w:val="single" w:sz="4" w:space="0" w:color="000000"/>
            </w:tcBorders>
            <w:shd w:val="clear" w:color="auto" w:fill="C0C0C0"/>
          </w:tcPr>
          <w:p w14:paraId="07C20484" w14:textId="77777777" w:rsidR="008C70FB" w:rsidRPr="00A9169D" w:rsidRDefault="008C70FB" w:rsidP="00B20AA9">
            <w:pPr>
              <w:pStyle w:val="TableParagraph"/>
              <w:kinsoku w:val="0"/>
              <w:overflowPunct w:val="0"/>
              <w:spacing w:before="17"/>
              <w:ind w:left="93"/>
              <w:rPr>
                <w:sz w:val="22"/>
                <w:szCs w:val="22"/>
              </w:rPr>
            </w:pPr>
            <w:r w:rsidRPr="00A9169D">
              <w:rPr>
                <w:sz w:val="22"/>
                <w:szCs w:val="22"/>
              </w:rPr>
              <w:t>Cure</w:t>
            </w:r>
            <w:r w:rsidRPr="00A9169D">
              <w:rPr>
                <w:spacing w:val="-7"/>
                <w:sz w:val="22"/>
                <w:szCs w:val="22"/>
              </w:rPr>
              <w:t xml:space="preserve"> </w:t>
            </w:r>
            <w:r w:rsidRPr="00A9169D">
              <w:rPr>
                <w:spacing w:val="-3"/>
                <w:sz w:val="22"/>
                <w:szCs w:val="22"/>
              </w:rPr>
              <w:t>Time</w:t>
            </w:r>
          </w:p>
        </w:tc>
        <w:tc>
          <w:tcPr>
            <w:tcW w:w="1728" w:type="dxa"/>
            <w:tcBorders>
              <w:top w:val="single" w:sz="4" w:space="0" w:color="000000"/>
              <w:left w:val="single" w:sz="4" w:space="0" w:color="000000"/>
              <w:bottom w:val="single" w:sz="4" w:space="0" w:color="000000"/>
              <w:right w:val="single" w:sz="4" w:space="0" w:color="000000"/>
            </w:tcBorders>
            <w:shd w:val="clear" w:color="auto" w:fill="C0C0C0"/>
          </w:tcPr>
          <w:p w14:paraId="3933F08E" w14:textId="77777777" w:rsidR="008C70FB" w:rsidRPr="00A9169D" w:rsidRDefault="008C70FB" w:rsidP="00B20AA9">
            <w:pPr>
              <w:pStyle w:val="TableParagraph"/>
              <w:kinsoku w:val="0"/>
              <w:overflowPunct w:val="0"/>
              <w:spacing w:before="17"/>
              <w:ind w:left="103"/>
              <w:rPr>
                <w:sz w:val="22"/>
                <w:szCs w:val="22"/>
              </w:rPr>
            </w:pPr>
            <w:r w:rsidRPr="00A9169D">
              <w:rPr>
                <w:sz w:val="22"/>
                <w:szCs w:val="22"/>
              </w:rPr>
              <w:t>&lt; 8</w:t>
            </w:r>
            <w:r w:rsidRPr="00A9169D">
              <w:rPr>
                <w:spacing w:val="-5"/>
                <w:sz w:val="22"/>
                <w:szCs w:val="22"/>
              </w:rPr>
              <w:t xml:space="preserve"> </w:t>
            </w:r>
            <w:r w:rsidRPr="00A9169D">
              <w:rPr>
                <w:sz w:val="22"/>
                <w:szCs w:val="22"/>
              </w:rPr>
              <w:t>hours</w:t>
            </w:r>
          </w:p>
        </w:tc>
        <w:tc>
          <w:tcPr>
            <w:tcW w:w="1584" w:type="dxa"/>
            <w:tcBorders>
              <w:top w:val="single" w:sz="4" w:space="0" w:color="000000"/>
              <w:left w:val="single" w:sz="4" w:space="0" w:color="000000"/>
              <w:bottom w:val="single" w:sz="4" w:space="0" w:color="000000"/>
              <w:right w:val="single" w:sz="11" w:space="0" w:color="000000"/>
            </w:tcBorders>
            <w:shd w:val="clear" w:color="auto" w:fill="C0C0C0"/>
          </w:tcPr>
          <w:p w14:paraId="18A03EB2" w14:textId="77777777" w:rsidR="008C70FB" w:rsidRPr="00A9169D" w:rsidRDefault="008C70FB" w:rsidP="00B20AA9">
            <w:pPr>
              <w:rPr>
                <w:sz w:val="22"/>
                <w:szCs w:val="22"/>
              </w:rPr>
            </w:pPr>
          </w:p>
        </w:tc>
      </w:tr>
      <w:tr w:rsidR="008C70FB" w:rsidRPr="00A9169D" w14:paraId="36CC0C4E" w14:textId="77777777" w:rsidTr="00B20AA9">
        <w:trPr>
          <w:trHeight w:hRule="exact" w:val="298"/>
        </w:trPr>
        <w:tc>
          <w:tcPr>
            <w:tcW w:w="3168" w:type="dxa"/>
            <w:tcBorders>
              <w:top w:val="single" w:sz="4" w:space="0" w:color="000000"/>
              <w:left w:val="single" w:sz="11" w:space="0" w:color="000000"/>
              <w:bottom w:val="single" w:sz="4" w:space="0" w:color="000000"/>
              <w:right w:val="single" w:sz="4" w:space="0" w:color="000000"/>
            </w:tcBorders>
          </w:tcPr>
          <w:p w14:paraId="38618BCA" w14:textId="77777777" w:rsidR="008C70FB" w:rsidRPr="00A9169D" w:rsidRDefault="008C70FB" w:rsidP="00B20AA9">
            <w:pPr>
              <w:pStyle w:val="TableParagraph"/>
              <w:kinsoku w:val="0"/>
              <w:overflowPunct w:val="0"/>
              <w:spacing w:before="19"/>
              <w:rPr>
                <w:sz w:val="22"/>
                <w:szCs w:val="22"/>
              </w:rPr>
            </w:pPr>
            <w:r w:rsidRPr="00A9169D">
              <w:rPr>
                <w:sz w:val="22"/>
                <w:szCs w:val="22"/>
              </w:rPr>
              <w:t>Application</w:t>
            </w:r>
          </w:p>
        </w:tc>
        <w:tc>
          <w:tcPr>
            <w:tcW w:w="1728" w:type="dxa"/>
            <w:tcBorders>
              <w:top w:val="single" w:sz="4" w:space="0" w:color="000000"/>
              <w:left w:val="single" w:sz="4" w:space="0" w:color="000000"/>
              <w:bottom w:val="single" w:sz="4" w:space="0" w:color="000000"/>
              <w:right w:val="single" w:sz="4" w:space="0" w:color="000000"/>
            </w:tcBorders>
          </w:tcPr>
          <w:p w14:paraId="113CA80A" w14:textId="77777777" w:rsidR="008C70FB" w:rsidRPr="00A9169D" w:rsidRDefault="008C70FB" w:rsidP="00B20AA9">
            <w:pPr>
              <w:rPr>
                <w:sz w:val="22"/>
                <w:szCs w:val="22"/>
              </w:rPr>
            </w:pPr>
          </w:p>
        </w:tc>
        <w:tc>
          <w:tcPr>
            <w:tcW w:w="1584" w:type="dxa"/>
            <w:tcBorders>
              <w:top w:val="single" w:sz="4" w:space="0" w:color="000000"/>
              <w:left w:val="single" w:sz="4" w:space="0" w:color="000000"/>
              <w:bottom w:val="single" w:sz="14" w:space="0" w:color="C0C0C0"/>
              <w:right w:val="single" w:sz="11" w:space="0" w:color="000000"/>
            </w:tcBorders>
          </w:tcPr>
          <w:p w14:paraId="5F075170" w14:textId="77777777" w:rsidR="008C70FB" w:rsidRPr="00A9169D" w:rsidRDefault="008C70FB" w:rsidP="00B20AA9">
            <w:pPr>
              <w:rPr>
                <w:sz w:val="22"/>
                <w:szCs w:val="22"/>
              </w:rPr>
            </w:pPr>
          </w:p>
        </w:tc>
      </w:tr>
      <w:tr w:rsidR="008C70FB" w:rsidRPr="00A9169D" w14:paraId="1F423C03" w14:textId="77777777" w:rsidTr="00B20AA9">
        <w:trPr>
          <w:trHeight w:hRule="exact" w:val="308"/>
        </w:trPr>
        <w:tc>
          <w:tcPr>
            <w:tcW w:w="3168" w:type="dxa"/>
            <w:tcBorders>
              <w:top w:val="single" w:sz="4" w:space="0" w:color="000000"/>
              <w:left w:val="single" w:sz="11" w:space="0" w:color="000000"/>
              <w:bottom w:val="single" w:sz="11" w:space="0" w:color="000000"/>
              <w:right w:val="single" w:sz="4" w:space="0" w:color="000000"/>
            </w:tcBorders>
            <w:shd w:val="clear" w:color="auto" w:fill="C0C0C0"/>
          </w:tcPr>
          <w:p w14:paraId="4D00E546" w14:textId="77777777" w:rsidR="008C70FB" w:rsidRPr="00A9169D" w:rsidRDefault="008C70FB" w:rsidP="00B20AA9">
            <w:pPr>
              <w:pStyle w:val="TableParagraph"/>
              <w:kinsoku w:val="0"/>
              <w:overflowPunct w:val="0"/>
              <w:spacing w:before="3"/>
              <w:rPr>
                <w:sz w:val="22"/>
                <w:szCs w:val="22"/>
              </w:rPr>
            </w:pPr>
            <w:r w:rsidRPr="00A9169D">
              <w:rPr>
                <w:sz w:val="22"/>
                <w:szCs w:val="22"/>
              </w:rPr>
              <w:t>Application Rate</w:t>
            </w:r>
          </w:p>
          <w:p w14:paraId="36689F93" w14:textId="77777777" w:rsidR="008C70FB" w:rsidRPr="00A9169D" w:rsidRDefault="008C70FB" w:rsidP="00B20AA9">
            <w:pPr>
              <w:pStyle w:val="TableParagraph"/>
              <w:kinsoku w:val="0"/>
              <w:overflowPunct w:val="0"/>
              <w:spacing w:line="237" w:lineRule="exact"/>
              <w:ind w:left="93"/>
              <w:rPr>
                <w:sz w:val="22"/>
                <w:szCs w:val="22"/>
              </w:rPr>
            </w:pPr>
            <w:r w:rsidRPr="00A9169D">
              <w:rPr>
                <w:sz w:val="22"/>
                <w:szCs w:val="22"/>
              </w:rPr>
              <w:t>Application Rate</w:t>
            </w:r>
          </w:p>
        </w:tc>
        <w:tc>
          <w:tcPr>
            <w:tcW w:w="1728" w:type="dxa"/>
            <w:tcBorders>
              <w:top w:val="single" w:sz="4" w:space="0" w:color="000000"/>
              <w:left w:val="single" w:sz="4" w:space="0" w:color="000000"/>
              <w:bottom w:val="single" w:sz="11" w:space="0" w:color="000000"/>
              <w:right w:val="single" w:sz="4" w:space="0" w:color="000000"/>
            </w:tcBorders>
            <w:shd w:val="clear" w:color="auto" w:fill="BFBFBF" w:themeFill="background1" w:themeFillShade="BF"/>
          </w:tcPr>
          <w:p w14:paraId="66BE8884" w14:textId="77777777" w:rsidR="008C70FB" w:rsidRPr="00A9169D" w:rsidRDefault="008C70FB" w:rsidP="00B20AA9">
            <w:pPr>
              <w:pStyle w:val="TableParagraph"/>
              <w:kinsoku w:val="0"/>
              <w:overflowPunct w:val="0"/>
              <w:spacing w:line="286" w:lineRule="exact"/>
              <w:ind w:left="2"/>
              <w:rPr>
                <w:sz w:val="22"/>
                <w:szCs w:val="22"/>
              </w:rPr>
            </w:pPr>
            <w:r w:rsidRPr="00A9169D">
              <w:rPr>
                <w:sz w:val="22"/>
                <w:szCs w:val="22"/>
              </w:rPr>
              <w:t>3000 lbs./acre</w:t>
            </w:r>
          </w:p>
        </w:tc>
        <w:tc>
          <w:tcPr>
            <w:tcW w:w="1584" w:type="dxa"/>
            <w:tcBorders>
              <w:top w:val="single" w:sz="4" w:space="0" w:color="000000"/>
              <w:left w:val="single" w:sz="4" w:space="0" w:color="000000"/>
              <w:bottom w:val="single" w:sz="11" w:space="0" w:color="000000"/>
              <w:right w:val="single" w:sz="11" w:space="0" w:color="000000"/>
            </w:tcBorders>
            <w:shd w:val="clear" w:color="auto" w:fill="C0C0C0"/>
          </w:tcPr>
          <w:p w14:paraId="3688200C" w14:textId="77777777" w:rsidR="008C70FB" w:rsidRPr="00A9169D" w:rsidRDefault="008C70FB" w:rsidP="00B20AA9">
            <w:pPr>
              <w:rPr>
                <w:sz w:val="22"/>
                <w:szCs w:val="22"/>
              </w:rPr>
            </w:pPr>
          </w:p>
        </w:tc>
      </w:tr>
    </w:tbl>
    <w:p w14:paraId="4B04F5CA" w14:textId="77777777" w:rsidR="008C70FB" w:rsidRPr="00A9169D" w:rsidRDefault="008C70FB" w:rsidP="008C70FB">
      <w:pPr>
        <w:rPr>
          <w:sz w:val="22"/>
          <w:szCs w:val="22"/>
        </w:rPr>
      </w:pPr>
      <w:r w:rsidRPr="00A9169D">
        <w:rPr>
          <w:sz w:val="22"/>
          <w:szCs w:val="22"/>
        </w:rPr>
        <w:t xml:space="preserve"> </w:t>
      </w:r>
    </w:p>
    <w:p w14:paraId="38CED705" w14:textId="660ED058" w:rsidR="008C70FB" w:rsidRPr="00A9169D" w:rsidRDefault="008C70FB" w:rsidP="004617E0">
      <w:pPr>
        <w:ind w:left="720"/>
        <w:rPr>
          <w:sz w:val="22"/>
          <w:szCs w:val="22"/>
        </w:rPr>
      </w:pPr>
      <w:r w:rsidRPr="00A9169D">
        <w:rPr>
          <w:sz w:val="22"/>
          <w:szCs w:val="22"/>
        </w:rPr>
        <w:t xml:space="preserve"> The organic fiber shall not contain lead paint, printing ink, varnish, petroleum products, seed germination inhibitors, or chlorine bleach. The organic fibers and reinforcing fibers cannot be produced from sawdust, cardboard, paper, or paper by-products.</w:t>
      </w:r>
    </w:p>
    <w:sectPr w:rsidR="008C70FB" w:rsidRPr="00A9169D" w:rsidSect="001D443A">
      <w:headerReference w:type="default" r:id="rId7"/>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4070D" w14:textId="77777777" w:rsidR="008454DA" w:rsidRDefault="008454DA" w:rsidP="00F878BD">
      <w:r>
        <w:separator/>
      </w:r>
    </w:p>
  </w:endnote>
  <w:endnote w:type="continuationSeparator" w:id="0">
    <w:p w14:paraId="025B53DF" w14:textId="77777777" w:rsidR="008454DA" w:rsidRDefault="008454DA"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42062" w14:textId="77777777" w:rsidR="008454DA" w:rsidRDefault="008454DA" w:rsidP="00F878BD">
      <w:r>
        <w:separator/>
      </w:r>
    </w:p>
  </w:footnote>
  <w:footnote w:type="continuationSeparator" w:id="0">
    <w:p w14:paraId="52A0A6F6" w14:textId="77777777" w:rsidR="008454DA" w:rsidRDefault="008454DA" w:rsidP="00F878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D8AE8" w14:textId="6DC6343D" w:rsidR="00F51665" w:rsidRPr="00F51665" w:rsidRDefault="00F51665" w:rsidP="00F51665">
    <w:pPr>
      <w:pStyle w:val="Header"/>
      <w:jc w:val="right"/>
      <w:rPr>
        <w:rFonts w:ascii="Times New Roman" w:hAnsi="Times New Roman" w:cs="Times New Roman"/>
      </w:rPr>
    </w:pPr>
    <w:r w:rsidRPr="00F51665">
      <w:rPr>
        <w:rFonts w:ascii="Times New Roman" w:hAnsi="Times New Roman" w:cs="Times New Roman"/>
      </w:rPr>
      <w:t>April 2</w:t>
    </w:r>
    <w:r w:rsidR="0063553E">
      <w:rPr>
        <w:rFonts w:ascii="Times New Roman" w:hAnsi="Times New Roman" w:cs="Times New Roman"/>
      </w:rPr>
      <w:t>5</w:t>
    </w:r>
    <w:r w:rsidRPr="00F51665">
      <w:rPr>
        <w:rFonts w:ascii="Times New Roman" w:hAnsi="Times New Roman" w:cs="Times New Roman"/>
      </w:rPr>
      <w:t>, 2018</w:t>
    </w:r>
  </w:p>
  <w:p w14:paraId="317CC2A0" w14:textId="06028B12" w:rsidR="00F51665" w:rsidRPr="00F51665" w:rsidRDefault="008454DA">
    <w:pPr>
      <w:pStyle w:val="Header"/>
      <w:jc w:val="center"/>
      <w:rPr>
        <w:rFonts w:ascii="Times New Roman" w:hAnsi="Times New Roman" w:cs="Times New Roman"/>
      </w:rPr>
    </w:pPr>
    <w:sdt>
      <w:sdtPr>
        <w:rPr>
          <w:rFonts w:ascii="Times New Roman" w:hAnsi="Times New Roman" w:cs="Times New Roman"/>
        </w:rPr>
        <w:id w:val="-1525003550"/>
        <w:docPartObj>
          <w:docPartGallery w:val="Page Numbers (Top of Page)"/>
          <w:docPartUnique/>
        </w:docPartObj>
      </w:sdtPr>
      <w:sdtEndPr>
        <w:rPr>
          <w:noProof/>
        </w:rPr>
      </w:sdtEndPr>
      <w:sdtContent>
        <w:r w:rsidR="00F51665" w:rsidRPr="00F51665">
          <w:rPr>
            <w:rFonts w:ascii="Times New Roman" w:hAnsi="Times New Roman" w:cs="Times New Roman"/>
          </w:rPr>
          <w:fldChar w:fldCharType="begin"/>
        </w:r>
        <w:r w:rsidR="00F51665" w:rsidRPr="00F51665">
          <w:rPr>
            <w:rFonts w:ascii="Times New Roman" w:hAnsi="Times New Roman" w:cs="Times New Roman"/>
          </w:rPr>
          <w:instrText xml:space="preserve"> PAGE   \* MERGEFORMAT </w:instrText>
        </w:r>
        <w:r w:rsidR="00F51665" w:rsidRPr="00F51665">
          <w:rPr>
            <w:rFonts w:ascii="Times New Roman" w:hAnsi="Times New Roman" w:cs="Times New Roman"/>
          </w:rPr>
          <w:fldChar w:fldCharType="separate"/>
        </w:r>
        <w:r w:rsidR="0063553E">
          <w:rPr>
            <w:rFonts w:ascii="Times New Roman" w:hAnsi="Times New Roman" w:cs="Times New Roman"/>
            <w:noProof/>
          </w:rPr>
          <w:t>1</w:t>
        </w:r>
        <w:r w:rsidR="00F51665" w:rsidRPr="00F51665">
          <w:rPr>
            <w:rFonts w:ascii="Times New Roman" w:hAnsi="Times New Roman" w:cs="Times New Roman"/>
            <w:noProof/>
          </w:rPr>
          <w:fldChar w:fldCharType="end"/>
        </w:r>
      </w:sdtContent>
    </w:sdt>
  </w:p>
  <w:p w14:paraId="2C1270D1" w14:textId="77777777" w:rsidR="00F51665" w:rsidRPr="00315AD9" w:rsidRDefault="00F51665" w:rsidP="00F51665">
    <w:pPr>
      <w:pStyle w:val="Header"/>
      <w:jc w:val="center"/>
      <w:rPr>
        <w:rFonts w:ascii="Times New Roman" w:hAnsi="Times New Roman" w:cs="Times New Roman"/>
      </w:rPr>
    </w:pPr>
    <w:r w:rsidRPr="00315AD9">
      <w:rPr>
        <w:rFonts w:ascii="Times New Roman" w:hAnsi="Times New Roman" w:cs="Times New Roman"/>
      </w:rPr>
      <w:t>REVISION OF SECTION 213</w:t>
    </w:r>
  </w:p>
  <w:p w14:paraId="5A7EC9B5" w14:textId="77777777" w:rsidR="00F51665" w:rsidRDefault="00F51665" w:rsidP="00F51665">
    <w:pPr>
      <w:pStyle w:val="Header"/>
      <w:jc w:val="center"/>
    </w:pPr>
    <w:r w:rsidRPr="00315AD9">
      <w:rPr>
        <w:rFonts w:ascii="Times New Roman" w:hAnsi="Times New Roman" w:cs="Times New Roman"/>
      </w:rPr>
      <w:t>MULCHING</w:t>
    </w:r>
  </w:p>
  <w:p w14:paraId="6B08CC9A" w14:textId="23261907" w:rsidR="00726A77" w:rsidRPr="001E5553" w:rsidRDefault="00726A77" w:rsidP="00726A77">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BE3E02"/>
    <w:multiLevelType w:val="hybridMultilevel"/>
    <w:tmpl w:val="89561A20"/>
    <w:lvl w:ilvl="0" w:tplc="B2F623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24C2E"/>
    <w:multiLevelType w:val="hybridMultilevel"/>
    <w:tmpl w:val="F9607D6C"/>
    <w:lvl w:ilvl="0" w:tplc="1B04D6E2">
      <w:start w:val="1"/>
      <w:numFmt w:val="decimal"/>
      <w:lvlText w:val="(%1)"/>
      <w:lvlJc w:val="left"/>
      <w:pPr>
        <w:ind w:left="720" w:hanging="360"/>
      </w:pPr>
      <w:rPr>
        <w:rFonts w:ascii="Times New Roman" w:hAnsi="Times New Roman" w:hint="default"/>
        <w:b w:val="0"/>
        <w:i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622495"/>
    <w:multiLevelType w:val="hybridMultilevel"/>
    <w:tmpl w:val="6DC48A7C"/>
    <w:lvl w:ilvl="0" w:tplc="03427C06">
      <w:start w:val="5"/>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52195"/>
    <w:multiLevelType w:val="hybridMultilevel"/>
    <w:tmpl w:val="064AAFAA"/>
    <w:lvl w:ilvl="0" w:tplc="C85868F8">
      <w:start w:val="1"/>
      <w:numFmt w:val="decimal"/>
      <w:lvlText w:val="%1"/>
      <w:lvlJc w:val="center"/>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2"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06F39"/>
    <w:multiLevelType w:val="hybridMultilevel"/>
    <w:tmpl w:val="38989A18"/>
    <w:lvl w:ilvl="0" w:tplc="B2F62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5" w15:restartNumberingAfterBreak="0">
    <w:nsid w:val="3F5E334B"/>
    <w:multiLevelType w:val="hybridMultilevel"/>
    <w:tmpl w:val="E5BA8E62"/>
    <w:lvl w:ilvl="0" w:tplc="B2F623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8" w15:restartNumberingAfterBreak="0">
    <w:nsid w:val="4B430DEB"/>
    <w:multiLevelType w:val="hybridMultilevel"/>
    <w:tmpl w:val="6EC84A38"/>
    <w:lvl w:ilvl="0" w:tplc="5226DD10">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0"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53936D1A"/>
    <w:multiLevelType w:val="hybridMultilevel"/>
    <w:tmpl w:val="F9607D6C"/>
    <w:lvl w:ilvl="0" w:tplc="1B04D6E2">
      <w:start w:val="1"/>
      <w:numFmt w:val="decimal"/>
      <w:lvlText w:val="(%1)"/>
      <w:lvlJc w:val="left"/>
      <w:pPr>
        <w:ind w:left="720" w:hanging="360"/>
      </w:pPr>
      <w:rPr>
        <w:rFonts w:ascii="Times New Roman" w:hAnsi="Times New Roman" w:hint="default"/>
        <w:b w:val="0"/>
        <w:i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7A55EF"/>
    <w:multiLevelType w:val="hybridMultilevel"/>
    <w:tmpl w:val="249E28D0"/>
    <w:lvl w:ilvl="0" w:tplc="BED0CE4E">
      <w:start w:val="1"/>
      <w:numFmt w:val="lowerLetter"/>
      <w:lvlText w:val="(%1)"/>
      <w:lvlJc w:val="left"/>
      <w:pPr>
        <w:ind w:left="360" w:hanging="360"/>
      </w:pPr>
      <w:rPr>
        <w:rFonts w:ascii="Times New Roman" w:hAnsi="Times New Roman"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832438"/>
    <w:multiLevelType w:val="hybridMultilevel"/>
    <w:tmpl w:val="DCFC4A8E"/>
    <w:lvl w:ilvl="0" w:tplc="836C2D36">
      <w:start w:val="2"/>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CE52AA"/>
    <w:multiLevelType w:val="hybridMultilevel"/>
    <w:tmpl w:val="E5AEC42A"/>
    <w:lvl w:ilvl="0" w:tplc="83362446">
      <w:start w:val="1"/>
      <w:numFmt w:val="decimal"/>
      <w:lvlText w:val="(%1)"/>
      <w:lvlJc w:val="left"/>
      <w:pPr>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DB1A0C"/>
    <w:multiLevelType w:val="hybridMultilevel"/>
    <w:tmpl w:val="EE1E74BE"/>
    <w:lvl w:ilvl="0" w:tplc="D49E723C">
      <w:start w:val="1"/>
      <w:numFmt w:val="lowerLetter"/>
      <w:lvlText w:val="(%1)"/>
      <w:lvlJc w:val="left"/>
      <w:pPr>
        <w:ind w:left="360"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783A50"/>
    <w:multiLevelType w:val="hybridMultilevel"/>
    <w:tmpl w:val="7A0480C8"/>
    <w:lvl w:ilvl="0" w:tplc="D654D9FA">
      <w:start w:val="1"/>
      <w:numFmt w:val="decimal"/>
      <w:lvlText w:val="(%1)"/>
      <w:lvlJc w:val="left"/>
      <w:pPr>
        <w:ind w:left="720" w:hanging="360"/>
      </w:pPr>
      <w:rPr>
        <w:rFonts w:ascii="Times New Roman" w:hAnsi="Times New Roman" w:hint="default"/>
        <w:b w:val="0"/>
        <w:i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902778"/>
    <w:multiLevelType w:val="hybridMultilevel"/>
    <w:tmpl w:val="D0667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D42221"/>
    <w:multiLevelType w:val="hybridMultilevel"/>
    <w:tmpl w:val="06BE238E"/>
    <w:lvl w:ilvl="0" w:tplc="1B04D6E2">
      <w:start w:val="1"/>
      <w:numFmt w:val="decimal"/>
      <w:lvlText w:val="(%1)"/>
      <w:lvlJc w:val="left"/>
      <w:pPr>
        <w:ind w:left="720" w:hanging="360"/>
      </w:pPr>
      <w:rPr>
        <w:rFonts w:ascii="Times New Roman" w:hAnsi="Times New Roman" w:hint="default"/>
        <w:b w:val="0"/>
        <w:i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5C239A"/>
    <w:multiLevelType w:val="hybridMultilevel"/>
    <w:tmpl w:val="2D2AF4EE"/>
    <w:lvl w:ilvl="0" w:tplc="B2F6237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0B3336"/>
    <w:multiLevelType w:val="hybridMultilevel"/>
    <w:tmpl w:val="A254F1AC"/>
    <w:lvl w:ilvl="0" w:tplc="AF36522A">
      <w:start w:val="1"/>
      <w:numFmt w:val="lowerLetter"/>
      <w:lvlText w:val="(%1)"/>
      <w:lvlJc w:val="left"/>
      <w:pPr>
        <w:ind w:left="360"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26"/>
  </w:num>
  <w:num w:numId="4">
    <w:abstractNumId w:val="2"/>
  </w:num>
  <w:num w:numId="5">
    <w:abstractNumId w:val="21"/>
  </w:num>
  <w:num w:numId="6">
    <w:abstractNumId w:val="25"/>
  </w:num>
  <w:num w:numId="7">
    <w:abstractNumId w:val="8"/>
  </w:num>
  <w:num w:numId="8">
    <w:abstractNumId w:val="23"/>
  </w:num>
  <w:num w:numId="9">
    <w:abstractNumId w:val="0"/>
  </w:num>
  <w:num w:numId="10">
    <w:abstractNumId w:val="5"/>
  </w:num>
  <w:num w:numId="11">
    <w:abstractNumId w:val="14"/>
  </w:num>
  <w:num w:numId="12">
    <w:abstractNumId w:val="4"/>
  </w:num>
  <w:num w:numId="13">
    <w:abstractNumId w:val="16"/>
  </w:num>
  <w:num w:numId="14">
    <w:abstractNumId w:val="11"/>
  </w:num>
  <w:num w:numId="15">
    <w:abstractNumId w:val="19"/>
  </w:num>
  <w:num w:numId="16">
    <w:abstractNumId w:val="32"/>
  </w:num>
  <w:num w:numId="17">
    <w:abstractNumId w:val="35"/>
  </w:num>
  <w:num w:numId="18">
    <w:abstractNumId w:val="3"/>
  </w:num>
  <w:num w:numId="19">
    <w:abstractNumId w:val="34"/>
  </w:num>
  <w:num w:numId="20">
    <w:abstractNumId w:val="12"/>
  </w:num>
  <w:num w:numId="21">
    <w:abstractNumId w:val="20"/>
  </w:num>
  <w:num w:numId="22">
    <w:abstractNumId w:val="24"/>
  </w:num>
  <w:num w:numId="23">
    <w:abstractNumId w:val="33"/>
  </w:num>
  <w:num w:numId="24">
    <w:abstractNumId w:val="7"/>
  </w:num>
  <w:num w:numId="25">
    <w:abstractNumId w:val="29"/>
  </w:num>
  <w:num w:numId="26">
    <w:abstractNumId w:val="30"/>
  </w:num>
  <w:num w:numId="27">
    <w:abstractNumId w:val="22"/>
  </w:num>
  <w:num w:numId="28">
    <w:abstractNumId w:val="37"/>
  </w:num>
  <w:num w:numId="29">
    <w:abstractNumId w:val="28"/>
  </w:num>
  <w:num w:numId="30">
    <w:abstractNumId w:val="31"/>
  </w:num>
  <w:num w:numId="31">
    <w:abstractNumId w:val="6"/>
  </w:num>
  <w:num w:numId="32">
    <w:abstractNumId w:val="36"/>
  </w:num>
  <w:num w:numId="33">
    <w:abstractNumId w:val="15"/>
  </w:num>
  <w:num w:numId="34">
    <w:abstractNumId w:val="13"/>
  </w:num>
  <w:num w:numId="35">
    <w:abstractNumId w:val="18"/>
  </w:num>
  <w:num w:numId="36">
    <w:abstractNumId w:val="10"/>
  </w:num>
  <w:num w:numId="37">
    <w:abstractNumId w:val="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C3C6B"/>
    <w:rsid w:val="000E3C78"/>
    <w:rsid w:val="000E5204"/>
    <w:rsid w:val="0010474A"/>
    <w:rsid w:val="0010525A"/>
    <w:rsid w:val="00132C12"/>
    <w:rsid w:val="001A68A2"/>
    <w:rsid w:val="001A7BED"/>
    <w:rsid w:val="001B06BE"/>
    <w:rsid w:val="001B35BA"/>
    <w:rsid w:val="001C3F85"/>
    <w:rsid w:val="001D24EA"/>
    <w:rsid w:val="001D443A"/>
    <w:rsid w:val="001D4BDD"/>
    <w:rsid w:val="001E2C1C"/>
    <w:rsid w:val="001E5553"/>
    <w:rsid w:val="00214CEC"/>
    <w:rsid w:val="00222B35"/>
    <w:rsid w:val="00230276"/>
    <w:rsid w:val="00240F9D"/>
    <w:rsid w:val="002714AF"/>
    <w:rsid w:val="00272482"/>
    <w:rsid w:val="002C208E"/>
    <w:rsid w:val="00315AD9"/>
    <w:rsid w:val="003162A2"/>
    <w:rsid w:val="003328A3"/>
    <w:rsid w:val="00355E39"/>
    <w:rsid w:val="00377465"/>
    <w:rsid w:val="003823FC"/>
    <w:rsid w:val="00394329"/>
    <w:rsid w:val="003C3F1C"/>
    <w:rsid w:val="003C7D90"/>
    <w:rsid w:val="003D1E40"/>
    <w:rsid w:val="003E4531"/>
    <w:rsid w:val="004249F3"/>
    <w:rsid w:val="00434AB2"/>
    <w:rsid w:val="00441D2F"/>
    <w:rsid w:val="004617E0"/>
    <w:rsid w:val="0047762C"/>
    <w:rsid w:val="004934BB"/>
    <w:rsid w:val="00496293"/>
    <w:rsid w:val="004B09DE"/>
    <w:rsid w:val="004D1C1D"/>
    <w:rsid w:val="004E5CB0"/>
    <w:rsid w:val="004F0EBB"/>
    <w:rsid w:val="004F1849"/>
    <w:rsid w:val="004F79CD"/>
    <w:rsid w:val="00500138"/>
    <w:rsid w:val="005040D7"/>
    <w:rsid w:val="00523E48"/>
    <w:rsid w:val="00551BB3"/>
    <w:rsid w:val="0056039E"/>
    <w:rsid w:val="00561A34"/>
    <w:rsid w:val="005707C9"/>
    <w:rsid w:val="00572D1D"/>
    <w:rsid w:val="005C69CA"/>
    <w:rsid w:val="00634A21"/>
    <w:rsid w:val="0063553E"/>
    <w:rsid w:val="006617A6"/>
    <w:rsid w:val="006812CF"/>
    <w:rsid w:val="006B1A52"/>
    <w:rsid w:val="006F45C4"/>
    <w:rsid w:val="006F5DB4"/>
    <w:rsid w:val="0070029E"/>
    <w:rsid w:val="00706DF8"/>
    <w:rsid w:val="00710A9C"/>
    <w:rsid w:val="0071231C"/>
    <w:rsid w:val="00726A77"/>
    <w:rsid w:val="007319A6"/>
    <w:rsid w:val="00747449"/>
    <w:rsid w:val="00754E01"/>
    <w:rsid w:val="007735BF"/>
    <w:rsid w:val="007854AB"/>
    <w:rsid w:val="007D24E5"/>
    <w:rsid w:val="007F0E20"/>
    <w:rsid w:val="00814549"/>
    <w:rsid w:val="00835CD4"/>
    <w:rsid w:val="008454DA"/>
    <w:rsid w:val="00870736"/>
    <w:rsid w:val="00874778"/>
    <w:rsid w:val="0088732B"/>
    <w:rsid w:val="00891B09"/>
    <w:rsid w:val="00897666"/>
    <w:rsid w:val="008B3BFC"/>
    <w:rsid w:val="008C59FF"/>
    <w:rsid w:val="008C70FB"/>
    <w:rsid w:val="008D3261"/>
    <w:rsid w:val="008D4DE9"/>
    <w:rsid w:val="008E2355"/>
    <w:rsid w:val="008E6E23"/>
    <w:rsid w:val="00912546"/>
    <w:rsid w:val="00923AF8"/>
    <w:rsid w:val="00935ABF"/>
    <w:rsid w:val="009363F9"/>
    <w:rsid w:val="00973DFA"/>
    <w:rsid w:val="00987248"/>
    <w:rsid w:val="009A40E9"/>
    <w:rsid w:val="009B3EF3"/>
    <w:rsid w:val="009D59DA"/>
    <w:rsid w:val="009E32B7"/>
    <w:rsid w:val="009F3FE4"/>
    <w:rsid w:val="00A14275"/>
    <w:rsid w:val="00A27DE7"/>
    <w:rsid w:val="00A368E6"/>
    <w:rsid w:val="00A54F34"/>
    <w:rsid w:val="00A5561F"/>
    <w:rsid w:val="00A7142E"/>
    <w:rsid w:val="00A73269"/>
    <w:rsid w:val="00A75DD1"/>
    <w:rsid w:val="00A76618"/>
    <w:rsid w:val="00A850F4"/>
    <w:rsid w:val="00A9169D"/>
    <w:rsid w:val="00A92397"/>
    <w:rsid w:val="00AA36CC"/>
    <w:rsid w:val="00AA51A0"/>
    <w:rsid w:val="00AB028C"/>
    <w:rsid w:val="00AB5B65"/>
    <w:rsid w:val="00AC7AF4"/>
    <w:rsid w:val="00AF0759"/>
    <w:rsid w:val="00B03922"/>
    <w:rsid w:val="00B25927"/>
    <w:rsid w:val="00B63869"/>
    <w:rsid w:val="00B91FF1"/>
    <w:rsid w:val="00BB22A1"/>
    <w:rsid w:val="00BD4394"/>
    <w:rsid w:val="00BE721F"/>
    <w:rsid w:val="00C26D30"/>
    <w:rsid w:val="00C3725F"/>
    <w:rsid w:val="00C40133"/>
    <w:rsid w:val="00C45F33"/>
    <w:rsid w:val="00C5094A"/>
    <w:rsid w:val="00C65DB8"/>
    <w:rsid w:val="00C82257"/>
    <w:rsid w:val="00C93280"/>
    <w:rsid w:val="00CB73C9"/>
    <w:rsid w:val="00CC309C"/>
    <w:rsid w:val="00D13D83"/>
    <w:rsid w:val="00D16104"/>
    <w:rsid w:val="00D5605D"/>
    <w:rsid w:val="00D86783"/>
    <w:rsid w:val="00D96259"/>
    <w:rsid w:val="00DE7DCD"/>
    <w:rsid w:val="00E0363D"/>
    <w:rsid w:val="00E208F0"/>
    <w:rsid w:val="00E51D69"/>
    <w:rsid w:val="00E5511D"/>
    <w:rsid w:val="00E56C20"/>
    <w:rsid w:val="00E5788C"/>
    <w:rsid w:val="00E647BB"/>
    <w:rsid w:val="00E85CC9"/>
    <w:rsid w:val="00EA5566"/>
    <w:rsid w:val="00EA7A41"/>
    <w:rsid w:val="00EC2A21"/>
    <w:rsid w:val="00ED497E"/>
    <w:rsid w:val="00EF1243"/>
    <w:rsid w:val="00EF208C"/>
    <w:rsid w:val="00F07B65"/>
    <w:rsid w:val="00F51665"/>
    <w:rsid w:val="00F55C90"/>
    <w:rsid w:val="00F605A4"/>
    <w:rsid w:val="00F878BD"/>
    <w:rsid w:val="00F95A59"/>
    <w:rsid w:val="00FC0225"/>
    <w:rsid w:val="00FE63DE"/>
    <w:rsid w:val="00FE78CA"/>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35CD4"/>
    <w:pPr>
      <w:tabs>
        <w:tab w:val="center" w:pos="4680"/>
        <w:tab w:val="right" w:pos="9360"/>
      </w:tabs>
    </w:pPr>
  </w:style>
  <w:style w:type="character" w:customStyle="1" w:styleId="FooterChar">
    <w:name w:val="Footer Char"/>
    <w:basedOn w:val="DefaultParagraphFont"/>
    <w:link w:val="Footer"/>
    <w:uiPriority w:val="99"/>
    <w:rsid w:val="00835CD4"/>
  </w:style>
  <w:style w:type="paragraph" w:customStyle="1" w:styleId="TableParagraph">
    <w:name w:val="Table Paragraph"/>
    <w:basedOn w:val="Normal"/>
    <w:uiPriority w:val="1"/>
    <w:qFormat/>
    <w:rsid w:val="00747449"/>
    <w:pPr>
      <w:widowControl w:val="0"/>
      <w:autoSpaceDE w:val="0"/>
      <w:autoSpaceDN w:val="0"/>
      <w:adjustRightInd w:val="0"/>
    </w:pPr>
    <w:rPr>
      <w:rFonts w:eastAsiaTheme="minorEastAsia"/>
      <w:sz w:val="24"/>
      <w:szCs w:val="24"/>
    </w:rPr>
  </w:style>
  <w:style w:type="character" w:customStyle="1" w:styleId="BodyTextChar">
    <w:name w:val="Body Text Char"/>
    <w:basedOn w:val="DefaultParagraphFont"/>
    <w:link w:val="BodyText"/>
    <w:uiPriority w:val="1"/>
    <w:rsid w:val="00747449"/>
    <w:rPr>
      <w:rFonts w:ascii="Arial Narrow" w:hAnsi="Arial Narrow"/>
      <w:b/>
    </w:rPr>
  </w:style>
  <w:style w:type="table" w:styleId="ListTable1Light">
    <w:name w:val="List Table 1 Light"/>
    <w:basedOn w:val="TableNormal"/>
    <w:uiPriority w:val="46"/>
    <w:rsid w:val="00747449"/>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24</cp:revision>
  <cp:lastPrinted>2017-11-28T20:51:00Z</cp:lastPrinted>
  <dcterms:created xsi:type="dcterms:W3CDTF">2018-04-23T15:14:00Z</dcterms:created>
  <dcterms:modified xsi:type="dcterms:W3CDTF">2018-04-24T20:46:00Z</dcterms:modified>
</cp:coreProperties>
</file>