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0D1C3" w14:textId="1AB83D1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right"/>
        <w:rPr>
          <w:rFonts w:ascii="Arial" w:eastAsia="Calibri" w:hAnsi="Arial" w:cs="Arial"/>
          <w:sz w:val="28"/>
          <w:szCs w:val="28"/>
        </w:rPr>
      </w:pPr>
      <w:r>
        <w:rPr>
          <w:rFonts w:ascii="Arial" w:eastAsia="Calibri" w:hAnsi="Arial" w:cs="Arial"/>
          <w:sz w:val="28"/>
          <w:szCs w:val="28"/>
        </w:rPr>
        <w:t xml:space="preserve">November </w:t>
      </w:r>
      <w:r w:rsidR="00096356">
        <w:rPr>
          <w:rFonts w:ascii="Arial" w:eastAsia="Calibri" w:hAnsi="Arial" w:cs="Arial"/>
          <w:sz w:val="28"/>
          <w:szCs w:val="28"/>
        </w:rPr>
        <w:t>8</w:t>
      </w:r>
      <w:r w:rsidRPr="00F95FB1">
        <w:rPr>
          <w:rFonts w:ascii="Arial" w:eastAsia="Calibri" w:hAnsi="Arial" w:cs="Arial"/>
          <w:sz w:val="28"/>
          <w:szCs w:val="28"/>
        </w:rPr>
        <w:t>, 2018</w:t>
      </w:r>
    </w:p>
    <w:p w14:paraId="151C00E1" w14:textId="6286DFFF"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sz w:val="40"/>
          <w:szCs w:val="22"/>
        </w:rPr>
      </w:pPr>
      <w:r w:rsidRPr="00F95FB1">
        <w:rPr>
          <w:rFonts w:ascii="Arial" w:eastAsia="Calibri" w:hAnsi="Arial" w:cs="Arial"/>
          <w:sz w:val="28"/>
          <w:szCs w:val="28"/>
        </w:rPr>
        <w:t xml:space="preserve">REVISION OF </w:t>
      </w:r>
      <w:r w:rsidRPr="00F95FB1">
        <w:rPr>
          <w:rFonts w:ascii="Arial" w:eastAsia="Calibri" w:hAnsi="Arial"/>
          <w:sz w:val="28"/>
          <w:szCs w:val="22"/>
        </w:rPr>
        <w:t xml:space="preserve">SECTION </w:t>
      </w:r>
      <w:r>
        <w:rPr>
          <w:rFonts w:ascii="Arial" w:eastAsia="Calibri" w:hAnsi="Arial"/>
          <w:sz w:val="28"/>
          <w:szCs w:val="22"/>
        </w:rPr>
        <w:t>601</w:t>
      </w:r>
      <w:r w:rsidRPr="00F95FB1">
        <w:rPr>
          <w:rFonts w:ascii="Arial" w:eastAsia="Calibri" w:hAnsi="Arial" w:cs="Arial"/>
          <w:sz w:val="28"/>
          <w:szCs w:val="28"/>
        </w:rPr>
        <w:br/>
      </w:r>
      <w:r w:rsidR="008C01C0">
        <w:rPr>
          <w:rFonts w:ascii="Arial" w:eastAsia="Calibri" w:hAnsi="Arial"/>
          <w:sz w:val="28"/>
          <w:szCs w:val="22"/>
        </w:rPr>
        <w:t>CLASS G CONCRETE</w:t>
      </w:r>
    </w:p>
    <w:p w14:paraId="6E5A85D0"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bCs/>
          <w:sz w:val="40"/>
          <w:szCs w:val="40"/>
        </w:rPr>
      </w:pPr>
      <w:r w:rsidRPr="00F95FB1">
        <w:rPr>
          <w:rFonts w:eastAsia="Calibri"/>
          <w:b/>
          <w:bCs/>
          <w:sz w:val="40"/>
          <w:szCs w:val="40"/>
        </w:rPr>
        <w:t>NOTICE</w:t>
      </w:r>
    </w:p>
    <w:p w14:paraId="21CC60BE"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38A82D52"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This is a standard special provision that revises or modifies CDOT’s </w:t>
      </w:r>
      <w:r w:rsidRPr="00F95FB1">
        <w:rPr>
          <w:rFonts w:eastAsia="Calibri"/>
          <w:i/>
          <w:iCs/>
          <w:sz w:val="28"/>
          <w:szCs w:val="28"/>
        </w:rPr>
        <w:t>Standard Specifications for Road and Bridge Construction.</w:t>
      </w:r>
      <w:r w:rsidRPr="00F95FB1">
        <w:rPr>
          <w:rFonts w:eastAsia="Calibri"/>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6DF6387"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62FA097C"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Other agencies which use the </w:t>
      </w:r>
      <w:r w:rsidRPr="00F95FB1">
        <w:rPr>
          <w:rFonts w:eastAsia="Calibri"/>
          <w:i/>
          <w:iCs/>
          <w:sz w:val="28"/>
          <w:szCs w:val="28"/>
        </w:rPr>
        <w:t>Standard Specifications for Road and Bridge Construction</w:t>
      </w:r>
      <w:r w:rsidRPr="00F95FB1">
        <w:rPr>
          <w:rFonts w:eastAsia="Calibri"/>
          <w:sz w:val="28"/>
          <w:szCs w:val="28"/>
        </w:rPr>
        <w:t xml:space="preserve"> to administer construction projects may use this special provision as appropriate and at their own risk.</w:t>
      </w:r>
    </w:p>
    <w:p w14:paraId="2D4AB2EA"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25BE7ED2"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ascii="Photina" w:eastAsia="Calibri" w:hAnsi="Photina" w:cs="Photina"/>
          <w:b/>
          <w:bCs/>
          <w:color w:val="800000"/>
          <w:sz w:val="28"/>
          <w:szCs w:val="28"/>
        </w:rPr>
        <w:t xml:space="preserve">Instructions for use on CDOT construction projects:  </w:t>
      </w:r>
    </w:p>
    <w:p w14:paraId="19DE6B66" w14:textId="691012DE" w:rsidR="00A733F5" w:rsidRDefault="00A345B0" w:rsidP="00A733F5">
      <w:pPr>
        <w:rPr>
          <w:rFonts w:eastAsia="Calibri"/>
          <w:sz w:val="28"/>
          <w:szCs w:val="28"/>
        </w:rPr>
      </w:pPr>
      <w:r w:rsidRPr="00A733F5">
        <w:rPr>
          <w:rFonts w:eastAsia="Calibri"/>
          <w:sz w:val="28"/>
          <w:szCs w:val="28"/>
        </w:rPr>
        <w:t xml:space="preserve">Use on projects </w:t>
      </w:r>
      <w:r w:rsidR="00772D76" w:rsidRPr="00A733F5">
        <w:rPr>
          <w:rFonts w:eastAsia="Calibri"/>
          <w:sz w:val="28"/>
          <w:szCs w:val="28"/>
        </w:rPr>
        <w:t>w</w:t>
      </w:r>
      <w:r w:rsidR="00A733F5" w:rsidRPr="00A733F5">
        <w:rPr>
          <w:rFonts w:eastAsia="Calibri"/>
          <w:sz w:val="28"/>
          <w:szCs w:val="28"/>
        </w:rPr>
        <w:t>here Class G shall be used to replace Class D concrete on all elements of new bridge structures that required Class D in the metro areas</w:t>
      </w:r>
      <w:r w:rsidR="000B4474">
        <w:rPr>
          <w:rFonts w:eastAsia="Calibri"/>
          <w:sz w:val="28"/>
          <w:szCs w:val="28"/>
        </w:rPr>
        <w:t xml:space="preserve"> of </w:t>
      </w:r>
      <w:r w:rsidR="00A733F5" w:rsidRPr="00A733F5">
        <w:rPr>
          <w:rFonts w:eastAsia="Calibri"/>
          <w:sz w:val="28"/>
          <w:szCs w:val="28"/>
        </w:rPr>
        <w:t>Denver, Loveland, Ft Collins, Colorado Springs, Pueblo, Silverthorne, Glenwood Springs, Grand Junction, Montrose, Durango</w:t>
      </w:r>
      <w:r w:rsidR="000B4474">
        <w:rPr>
          <w:rFonts w:eastAsia="Calibri"/>
          <w:sz w:val="28"/>
          <w:szCs w:val="28"/>
        </w:rPr>
        <w:t xml:space="preserve"> and</w:t>
      </w:r>
      <w:r w:rsidR="00A733F5" w:rsidRPr="00A733F5">
        <w:rPr>
          <w:rFonts w:eastAsia="Calibri"/>
          <w:sz w:val="28"/>
          <w:szCs w:val="28"/>
        </w:rPr>
        <w:t xml:space="preserve"> Alamosa.  Do not substitute Class BZ or S</w:t>
      </w:r>
      <w:r w:rsidR="00E272EF">
        <w:rPr>
          <w:rFonts w:eastAsia="Calibri"/>
          <w:sz w:val="28"/>
          <w:szCs w:val="28"/>
        </w:rPr>
        <w:t xml:space="preserve"> concrete</w:t>
      </w:r>
      <w:r w:rsidR="002117D5">
        <w:rPr>
          <w:rFonts w:eastAsia="Calibri"/>
          <w:sz w:val="28"/>
          <w:szCs w:val="28"/>
        </w:rPr>
        <w:t xml:space="preserve"> with Class G concrete</w:t>
      </w:r>
      <w:r w:rsidR="00A733F5" w:rsidRPr="00A733F5">
        <w:rPr>
          <w:rFonts w:eastAsia="Calibri"/>
          <w:sz w:val="28"/>
          <w:szCs w:val="28"/>
        </w:rPr>
        <w:t xml:space="preserve">.  Notes on the plan sheets calling out Class D for bridge concrete </w:t>
      </w:r>
      <w:r w:rsidR="00DC17CB">
        <w:rPr>
          <w:rFonts w:eastAsia="Calibri"/>
          <w:sz w:val="28"/>
          <w:szCs w:val="28"/>
        </w:rPr>
        <w:t xml:space="preserve">will </w:t>
      </w:r>
      <w:r w:rsidR="00A733F5" w:rsidRPr="00A733F5">
        <w:rPr>
          <w:rFonts w:eastAsia="Calibri"/>
          <w:sz w:val="28"/>
          <w:szCs w:val="28"/>
        </w:rPr>
        <w:t>need to be changed to Class G, or the project needs to create a project special stating that all Class D concrete on Structure(s) XX shall be Class G.</w:t>
      </w:r>
    </w:p>
    <w:p w14:paraId="7D050878" w14:textId="77777777" w:rsidR="00491F8B" w:rsidRPr="00A733F5" w:rsidRDefault="00491F8B" w:rsidP="00A733F5">
      <w:pPr>
        <w:rPr>
          <w:rFonts w:eastAsia="Calibri"/>
          <w:sz w:val="28"/>
          <w:szCs w:val="28"/>
        </w:rPr>
      </w:pPr>
    </w:p>
    <w:p w14:paraId="04CAE2F4" w14:textId="048E2337" w:rsidR="00A733F5" w:rsidRDefault="00A733F5" w:rsidP="00A733F5">
      <w:pPr>
        <w:spacing w:after="160" w:line="259" w:lineRule="auto"/>
        <w:rPr>
          <w:rFonts w:eastAsia="Calibri"/>
          <w:sz w:val="28"/>
          <w:szCs w:val="28"/>
        </w:rPr>
      </w:pPr>
      <w:r w:rsidRPr="00A733F5">
        <w:rPr>
          <w:rFonts w:eastAsia="Calibri"/>
          <w:sz w:val="28"/>
          <w:szCs w:val="28"/>
        </w:rPr>
        <w:t>If you have a question whether or not the location of your project should use Class G, please contact the Concrete Unit within the Materials and Geotechnical Branch at</w:t>
      </w:r>
      <w:r w:rsidR="00491F8B">
        <w:rPr>
          <w:rFonts w:eastAsia="Calibri"/>
          <w:sz w:val="28"/>
          <w:szCs w:val="28"/>
        </w:rPr>
        <w:t xml:space="preserve"> </w:t>
      </w:r>
      <w:hyperlink r:id="rId7" w:history="1">
        <w:r w:rsidR="00491F8B" w:rsidRPr="009330A6">
          <w:rPr>
            <w:rStyle w:val="Hyperlink"/>
            <w:rFonts w:eastAsia="Calibri"/>
            <w:sz w:val="28"/>
            <w:szCs w:val="28"/>
          </w:rPr>
          <w:t>DOT_ConcreteMixDesigns@state.co.us</w:t>
        </w:r>
      </w:hyperlink>
      <w:r w:rsidR="00491F8B">
        <w:rPr>
          <w:rFonts w:eastAsia="Calibri"/>
          <w:sz w:val="28"/>
          <w:szCs w:val="28"/>
        </w:rPr>
        <w:t xml:space="preserve"> .</w:t>
      </w:r>
    </w:p>
    <w:p w14:paraId="135ED815" w14:textId="77777777" w:rsidR="00491F8B" w:rsidRPr="00A733F5" w:rsidRDefault="00491F8B" w:rsidP="00A733F5">
      <w:pPr>
        <w:spacing w:after="160" w:line="259" w:lineRule="auto"/>
        <w:rPr>
          <w:rFonts w:eastAsia="Calibri"/>
          <w:sz w:val="28"/>
          <w:szCs w:val="28"/>
        </w:rPr>
      </w:pPr>
    </w:p>
    <w:p w14:paraId="00060827" w14:textId="5319A511" w:rsidR="000B32DE" w:rsidRPr="000B32DE" w:rsidRDefault="000B32DE" w:rsidP="00A733F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eastAsia="Calibri"/>
          <w:sz w:val="28"/>
          <w:szCs w:val="28"/>
        </w:rPr>
      </w:pPr>
    </w:p>
    <w:p w14:paraId="34538D67" w14:textId="13EEA452" w:rsidR="00A345B0" w:rsidRPr="00EC4AEF" w:rsidRDefault="00A345B0" w:rsidP="00EC4AE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eastAsia="Calibri"/>
          <w:sz w:val="28"/>
          <w:szCs w:val="28"/>
        </w:rPr>
      </w:pPr>
      <w:r>
        <w:rPr>
          <w:sz w:val="22"/>
          <w:szCs w:val="22"/>
        </w:rPr>
        <w:br w:type="page"/>
      </w:r>
    </w:p>
    <w:p w14:paraId="61B7CC5F" w14:textId="5C88F864" w:rsidR="00A345B0" w:rsidRPr="005F2B32" w:rsidRDefault="00FB792D" w:rsidP="00FB792D">
      <w:pPr>
        <w:jc w:val="right"/>
        <w:rPr>
          <w:sz w:val="24"/>
          <w:szCs w:val="24"/>
        </w:rPr>
      </w:pPr>
      <w:r w:rsidRPr="005F2B32">
        <w:rPr>
          <w:sz w:val="24"/>
          <w:szCs w:val="24"/>
        </w:rPr>
        <w:lastRenderedPageBreak/>
        <w:t xml:space="preserve">November </w:t>
      </w:r>
      <w:r w:rsidR="00096356">
        <w:rPr>
          <w:sz w:val="24"/>
          <w:szCs w:val="24"/>
        </w:rPr>
        <w:t>8</w:t>
      </w:r>
      <w:r w:rsidRPr="005F2B32">
        <w:rPr>
          <w:sz w:val="24"/>
          <w:szCs w:val="24"/>
        </w:rPr>
        <w:t>, 2018</w:t>
      </w:r>
    </w:p>
    <w:p w14:paraId="78CBBE59" w14:textId="3B52635A" w:rsidR="000E76DF" w:rsidRDefault="000E76DF" w:rsidP="00555692">
      <w:pPr>
        <w:tabs>
          <w:tab w:val="right" w:pos="8640"/>
        </w:tabs>
        <w:jc w:val="center"/>
        <w:rPr>
          <w:sz w:val="24"/>
          <w:szCs w:val="24"/>
        </w:rPr>
      </w:pPr>
      <w:r>
        <w:rPr>
          <w:sz w:val="24"/>
          <w:szCs w:val="24"/>
        </w:rPr>
        <w:t>1</w:t>
      </w:r>
    </w:p>
    <w:p w14:paraId="4002956D" w14:textId="4BDD0313" w:rsidR="00E0029F" w:rsidRPr="005F2B32" w:rsidRDefault="00E0029F" w:rsidP="00555692">
      <w:pPr>
        <w:tabs>
          <w:tab w:val="right" w:pos="8640"/>
        </w:tabs>
        <w:jc w:val="center"/>
        <w:rPr>
          <w:sz w:val="24"/>
          <w:szCs w:val="24"/>
        </w:rPr>
      </w:pPr>
      <w:r w:rsidRPr="005F2B32">
        <w:rPr>
          <w:sz w:val="24"/>
          <w:szCs w:val="24"/>
        </w:rPr>
        <w:t>REVISION OF SECTION 601</w:t>
      </w:r>
      <w:r w:rsidR="00270077" w:rsidRPr="005F2B32">
        <w:rPr>
          <w:sz w:val="24"/>
          <w:szCs w:val="24"/>
        </w:rPr>
        <w:br/>
      </w:r>
      <w:r w:rsidRPr="005F2B32">
        <w:rPr>
          <w:sz w:val="24"/>
          <w:szCs w:val="24"/>
        </w:rPr>
        <w:t>CLASS G CONCRETE</w:t>
      </w:r>
    </w:p>
    <w:p w14:paraId="3E2B59A7" w14:textId="77777777" w:rsidR="00E0029F" w:rsidRPr="00270077" w:rsidRDefault="00E0029F" w:rsidP="00843F9F">
      <w:pPr>
        <w:rPr>
          <w:sz w:val="22"/>
          <w:szCs w:val="22"/>
        </w:rPr>
      </w:pPr>
    </w:p>
    <w:p w14:paraId="201B3A74" w14:textId="77777777" w:rsidR="00E0029F" w:rsidRPr="00270077" w:rsidRDefault="00E0029F" w:rsidP="00843F9F">
      <w:pPr>
        <w:rPr>
          <w:sz w:val="22"/>
          <w:szCs w:val="22"/>
        </w:rPr>
      </w:pPr>
      <w:r w:rsidRPr="00270077">
        <w:rPr>
          <w:sz w:val="22"/>
          <w:szCs w:val="22"/>
        </w:rPr>
        <w:t>Section 601 of the Standard Specifications is hereby revised for this project as follows:</w:t>
      </w:r>
    </w:p>
    <w:p w14:paraId="4F9E455D" w14:textId="77777777" w:rsidR="00E0029F" w:rsidRPr="00270077" w:rsidRDefault="00E0029F" w:rsidP="00843F9F">
      <w:pPr>
        <w:rPr>
          <w:sz w:val="22"/>
          <w:szCs w:val="22"/>
        </w:rPr>
      </w:pPr>
    </w:p>
    <w:p w14:paraId="05D7D6BB" w14:textId="0CB697EA" w:rsidR="00E0029F" w:rsidRPr="00D23853" w:rsidRDefault="00E0029F" w:rsidP="00D563A4">
      <w:pPr>
        <w:keepNext/>
        <w:keepLines/>
        <w:tabs>
          <w:tab w:val="left" w:pos="-720"/>
          <w:tab w:val="left" w:pos="0"/>
          <w:tab w:val="left" w:pos="540"/>
          <w:tab w:val="left" w:pos="900"/>
          <w:tab w:val="left" w:pos="1260"/>
          <w:tab w:val="left" w:pos="1620"/>
        </w:tabs>
        <w:spacing w:line="247" w:lineRule="auto"/>
        <w:rPr>
          <w:bCs/>
          <w:color w:val="FF0000"/>
          <w:sz w:val="22"/>
          <w:szCs w:val="22"/>
        </w:rPr>
      </w:pPr>
      <w:r w:rsidRPr="00270077">
        <w:rPr>
          <w:bCs/>
          <w:color w:val="000000"/>
          <w:sz w:val="22"/>
          <w:szCs w:val="22"/>
        </w:rPr>
        <w:t>In subsection 601.02 add Class G to Table 601-1:</w:t>
      </w:r>
    </w:p>
    <w:p w14:paraId="44558486" w14:textId="77777777" w:rsidR="00E0029F" w:rsidRPr="00270077" w:rsidRDefault="00E0029F" w:rsidP="00D563A4">
      <w:pPr>
        <w:keepNext/>
        <w:keepLines/>
        <w:tabs>
          <w:tab w:val="left" w:pos="-720"/>
          <w:tab w:val="left" w:pos="0"/>
          <w:tab w:val="left" w:pos="540"/>
          <w:tab w:val="left" w:pos="900"/>
          <w:tab w:val="left" w:pos="1260"/>
          <w:tab w:val="left" w:pos="1620"/>
        </w:tabs>
        <w:spacing w:line="247" w:lineRule="auto"/>
        <w:rPr>
          <w:bCs/>
          <w:color w:val="000000"/>
          <w:sz w:val="22"/>
          <w:szCs w:val="22"/>
        </w:rPr>
      </w:pPr>
    </w:p>
    <w:tbl>
      <w:tblPr>
        <w:tblW w:w="8121" w:type="dxa"/>
        <w:jc w:val="center"/>
        <w:tblBorders>
          <w:top w:val="double" w:sz="4" w:space="0" w:color="auto"/>
          <w:left w:val="double" w:sz="4" w:space="0" w:color="auto"/>
          <w:bottom w:val="double" w:sz="4" w:space="0" w:color="auto"/>
          <w:right w:val="double" w:sz="4" w:space="0" w:color="auto"/>
          <w:insideV w:val="single" w:sz="4" w:space="0" w:color="000000"/>
        </w:tblBorders>
        <w:tblLayout w:type="fixed"/>
        <w:tblCellMar>
          <w:top w:w="29" w:type="dxa"/>
          <w:left w:w="115" w:type="dxa"/>
          <w:bottom w:w="29" w:type="dxa"/>
          <w:right w:w="115" w:type="dxa"/>
        </w:tblCellMar>
        <w:tblLook w:val="0000" w:firstRow="0" w:lastRow="0" w:firstColumn="0" w:lastColumn="0" w:noHBand="0" w:noVBand="0"/>
      </w:tblPr>
      <w:tblGrid>
        <w:gridCol w:w="1244"/>
        <w:gridCol w:w="1635"/>
        <w:gridCol w:w="1774"/>
        <w:gridCol w:w="1331"/>
        <w:gridCol w:w="2137"/>
      </w:tblGrid>
      <w:tr w:rsidR="003C5C2E" w:rsidRPr="00270077" w14:paraId="1CED58DF" w14:textId="77777777" w:rsidTr="00D23853">
        <w:trPr>
          <w:cantSplit/>
          <w:trHeight w:val="1464"/>
          <w:jc w:val="center"/>
        </w:trPr>
        <w:tc>
          <w:tcPr>
            <w:tcW w:w="1244" w:type="dxa"/>
            <w:tcBorders>
              <w:top w:val="double" w:sz="4" w:space="0" w:color="auto"/>
              <w:bottom w:val="single" w:sz="4" w:space="0" w:color="auto"/>
            </w:tcBorders>
            <w:vAlign w:val="center"/>
          </w:tcPr>
          <w:p w14:paraId="2DC80506" w14:textId="3506999C" w:rsidR="003C5C2E" w:rsidRPr="003C5C2E" w:rsidRDefault="003C5C2E" w:rsidP="00A72055">
            <w:pPr>
              <w:keepNext/>
              <w:keepLines/>
              <w:tabs>
                <w:tab w:val="left" w:pos="-720"/>
                <w:tab w:val="left" w:pos="0"/>
                <w:tab w:val="left" w:pos="540"/>
                <w:tab w:val="left" w:pos="900"/>
                <w:tab w:val="left" w:pos="1260"/>
                <w:tab w:val="left" w:pos="1620"/>
              </w:tabs>
              <w:jc w:val="center"/>
              <w:rPr>
                <w:b/>
                <w:bCs/>
                <w:color w:val="000000"/>
                <w:sz w:val="22"/>
                <w:szCs w:val="22"/>
              </w:rPr>
            </w:pPr>
            <w:r w:rsidRPr="003C5C2E">
              <w:rPr>
                <w:b/>
                <w:bCs/>
                <w:color w:val="000000"/>
                <w:sz w:val="22"/>
                <w:szCs w:val="22"/>
              </w:rPr>
              <w:t>Concrete Class</w:t>
            </w:r>
          </w:p>
        </w:tc>
        <w:tc>
          <w:tcPr>
            <w:tcW w:w="1635" w:type="dxa"/>
            <w:tcBorders>
              <w:top w:val="double" w:sz="4" w:space="0" w:color="auto"/>
              <w:bottom w:val="single" w:sz="4" w:space="0" w:color="auto"/>
            </w:tcBorders>
            <w:vAlign w:val="center"/>
          </w:tcPr>
          <w:p w14:paraId="6D757C56" w14:textId="28753594" w:rsidR="003C5C2E" w:rsidRPr="00D23853" w:rsidRDefault="003C5C2E" w:rsidP="009B24C6">
            <w:pPr>
              <w:keepNext/>
              <w:keepLines/>
              <w:tabs>
                <w:tab w:val="left" w:pos="-720"/>
                <w:tab w:val="left" w:pos="0"/>
                <w:tab w:val="left" w:pos="540"/>
                <w:tab w:val="left" w:pos="900"/>
                <w:tab w:val="left" w:pos="1260"/>
                <w:tab w:val="left" w:pos="1620"/>
              </w:tabs>
              <w:jc w:val="center"/>
              <w:rPr>
                <w:b/>
                <w:bCs/>
                <w:color w:val="000000"/>
                <w:sz w:val="22"/>
                <w:szCs w:val="22"/>
              </w:rPr>
            </w:pPr>
            <w:r w:rsidRPr="00D23853">
              <w:rPr>
                <w:b/>
                <w:bCs/>
                <w:color w:val="000000"/>
                <w:sz w:val="22"/>
                <w:szCs w:val="22"/>
              </w:rPr>
              <w:t>Required Field Compressive Strength (psi)</w:t>
            </w:r>
          </w:p>
        </w:tc>
        <w:tc>
          <w:tcPr>
            <w:tcW w:w="1774" w:type="dxa"/>
            <w:tcBorders>
              <w:top w:val="double" w:sz="4" w:space="0" w:color="auto"/>
              <w:bottom w:val="single" w:sz="4" w:space="0" w:color="auto"/>
            </w:tcBorders>
            <w:vAlign w:val="center"/>
          </w:tcPr>
          <w:p w14:paraId="4F2FE22E" w14:textId="35EF19DD" w:rsidR="003C5C2E" w:rsidRPr="00D23853" w:rsidRDefault="003C5C2E" w:rsidP="00A72055">
            <w:pPr>
              <w:keepNext/>
              <w:keepLines/>
              <w:tabs>
                <w:tab w:val="left" w:pos="-720"/>
                <w:tab w:val="left" w:pos="0"/>
                <w:tab w:val="left" w:pos="540"/>
                <w:tab w:val="left" w:pos="900"/>
                <w:tab w:val="left" w:pos="1260"/>
                <w:tab w:val="left" w:pos="1620"/>
              </w:tabs>
              <w:jc w:val="center"/>
              <w:rPr>
                <w:b/>
                <w:bCs/>
                <w:color w:val="000000"/>
                <w:sz w:val="22"/>
                <w:szCs w:val="22"/>
              </w:rPr>
            </w:pPr>
            <w:r w:rsidRPr="00D23853">
              <w:rPr>
                <w:b/>
                <w:bCs/>
                <w:color w:val="000000"/>
                <w:sz w:val="22"/>
                <w:szCs w:val="22"/>
              </w:rPr>
              <w:t>Cementitious Material Content: Minimum or Range (lbs/yd</w:t>
            </w:r>
            <w:r w:rsidRPr="00D23853">
              <w:rPr>
                <w:b/>
                <w:bCs/>
                <w:color w:val="000000"/>
                <w:sz w:val="22"/>
                <w:szCs w:val="22"/>
                <w:vertAlign w:val="superscript"/>
              </w:rPr>
              <w:t>3</w:t>
            </w:r>
            <w:r w:rsidRPr="00D23853">
              <w:rPr>
                <w:b/>
                <w:bCs/>
                <w:color w:val="000000"/>
                <w:sz w:val="22"/>
                <w:szCs w:val="22"/>
              </w:rPr>
              <w:t>)</w:t>
            </w:r>
          </w:p>
        </w:tc>
        <w:tc>
          <w:tcPr>
            <w:tcW w:w="1331" w:type="dxa"/>
            <w:tcBorders>
              <w:top w:val="double" w:sz="4" w:space="0" w:color="auto"/>
              <w:bottom w:val="single" w:sz="4" w:space="0" w:color="auto"/>
            </w:tcBorders>
            <w:vAlign w:val="center"/>
          </w:tcPr>
          <w:p w14:paraId="7B04F120" w14:textId="387DB382" w:rsidR="003C5C2E" w:rsidRPr="00D23853" w:rsidRDefault="003C5C2E" w:rsidP="00A72055">
            <w:pPr>
              <w:keepNext/>
              <w:keepLines/>
              <w:tabs>
                <w:tab w:val="left" w:pos="-720"/>
                <w:tab w:val="left" w:pos="0"/>
                <w:tab w:val="left" w:pos="540"/>
                <w:tab w:val="left" w:pos="900"/>
                <w:tab w:val="left" w:pos="1260"/>
                <w:tab w:val="left" w:pos="1620"/>
              </w:tabs>
              <w:jc w:val="center"/>
              <w:rPr>
                <w:b/>
                <w:bCs/>
                <w:color w:val="000000"/>
                <w:sz w:val="22"/>
                <w:szCs w:val="22"/>
              </w:rPr>
            </w:pPr>
            <w:r>
              <w:rPr>
                <w:b/>
                <w:bCs/>
                <w:color w:val="000000"/>
                <w:sz w:val="22"/>
                <w:szCs w:val="22"/>
              </w:rPr>
              <w:t>Air Content: % Ran</w:t>
            </w:r>
            <w:bookmarkStart w:id="0" w:name="_GoBack"/>
            <w:bookmarkEnd w:id="0"/>
            <w:r>
              <w:rPr>
                <w:b/>
                <w:bCs/>
                <w:color w:val="000000"/>
                <w:sz w:val="22"/>
                <w:szCs w:val="22"/>
              </w:rPr>
              <w:t>ge (Total)</w:t>
            </w:r>
          </w:p>
        </w:tc>
        <w:tc>
          <w:tcPr>
            <w:tcW w:w="2137" w:type="dxa"/>
            <w:tcBorders>
              <w:top w:val="double" w:sz="4" w:space="0" w:color="auto"/>
              <w:bottom w:val="single" w:sz="4" w:space="0" w:color="auto"/>
            </w:tcBorders>
            <w:vAlign w:val="center"/>
          </w:tcPr>
          <w:p w14:paraId="07A3407B" w14:textId="0347513D" w:rsidR="003C5C2E" w:rsidRPr="00D23853" w:rsidRDefault="003C5C2E" w:rsidP="00A72055">
            <w:pPr>
              <w:keepNext/>
              <w:keepLines/>
              <w:tabs>
                <w:tab w:val="left" w:pos="-720"/>
                <w:tab w:val="left" w:pos="0"/>
                <w:tab w:val="left" w:pos="540"/>
                <w:tab w:val="left" w:pos="900"/>
                <w:tab w:val="left" w:pos="1260"/>
                <w:tab w:val="left" w:pos="1620"/>
              </w:tabs>
              <w:jc w:val="center"/>
              <w:rPr>
                <w:b/>
                <w:bCs/>
                <w:color w:val="000000"/>
                <w:sz w:val="22"/>
                <w:szCs w:val="22"/>
              </w:rPr>
            </w:pPr>
            <w:r>
              <w:rPr>
                <w:b/>
                <w:bCs/>
                <w:color w:val="000000"/>
                <w:sz w:val="22"/>
                <w:szCs w:val="22"/>
              </w:rPr>
              <w:t>Water/Cementitious Material Ratio: Maximum or Range</w:t>
            </w:r>
          </w:p>
        </w:tc>
      </w:tr>
      <w:tr w:rsidR="00E0029F" w:rsidRPr="00270077" w14:paraId="21ED5C88" w14:textId="77777777" w:rsidTr="00D23853">
        <w:trPr>
          <w:cantSplit/>
          <w:trHeight w:val="481"/>
          <w:jc w:val="center"/>
        </w:trPr>
        <w:tc>
          <w:tcPr>
            <w:tcW w:w="1244" w:type="dxa"/>
            <w:tcBorders>
              <w:top w:val="single" w:sz="4" w:space="0" w:color="auto"/>
            </w:tcBorders>
            <w:vAlign w:val="center"/>
          </w:tcPr>
          <w:p w14:paraId="1FC9D230"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
                <w:bCs/>
                <w:color w:val="000000"/>
                <w:sz w:val="22"/>
                <w:szCs w:val="22"/>
              </w:rPr>
            </w:pPr>
            <w:r w:rsidRPr="00270077">
              <w:rPr>
                <w:b/>
                <w:bCs/>
                <w:color w:val="000000"/>
                <w:sz w:val="22"/>
                <w:szCs w:val="22"/>
              </w:rPr>
              <w:t>G</w:t>
            </w:r>
          </w:p>
        </w:tc>
        <w:tc>
          <w:tcPr>
            <w:tcW w:w="1635" w:type="dxa"/>
            <w:tcBorders>
              <w:top w:val="single" w:sz="4" w:space="0" w:color="auto"/>
            </w:tcBorders>
            <w:vAlign w:val="center"/>
          </w:tcPr>
          <w:p w14:paraId="1C91362F" w14:textId="77777777" w:rsidR="00E0029F" w:rsidRPr="00270077" w:rsidRDefault="00E0029F" w:rsidP="009B24C6">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4,500 at 28 days</w:t>
            </w:r>
          </w:p>
        </w:tc>
        <w:tc>
          <w:tcPr>
            <w:tcW w:w="1774" w:type="dxa"/>
            <w:tcBorders>
              <w:top w:val="single" w:sz="4" w:space="0" w:color="auto"/>
            </w:tcBorders>
            <w:vAlign w:val="center"/>
          </w:tcPr>
          <w:p w14:paraId="09D86C24"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N/A</w:t>
            </w:r>
          </w:p>
        </w:tc>
        <w:tc>
          <w:tcPr>
            <w:tcW w:w="1331" w:type="dxa"/>
            <w:tcBorders>
              <w:top w:val="single" w:sz="4" w:space="0" w:color="auto"/>
            </w:tcBorders>
            <w:vAlign w:val="center"/>
          </w:tcPr>
          <w:p w14:paraId="4EB943FF"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5 – 8</w:t>
            </w:r>
          </w:p>
        </w:tc>
        <w:tc>
          <w:tcPr>
            <w:tcW w:w="2137" w:type="dxa"/>
            <w:tcBorders>
              <w:top w:val="single" w:sz="4" w:space="0" w:color="auto"/>
            </w:tcBorders>
            <w:vAlign w:val="center"/>
          </w:tcPr>
          <w:p w14:paraId="347259D7"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0.45</w:t>
            </w:r>
          </w:p>
        </w:tc>
      </w:tr>
    </w:tbl>
    <w:p w14:paraId="2A039590" w14:textId="77777777" w:rsidR="00E0029F" w:rsidRPr="00270077" w:rsidRDefault="00E0029F" w:rsidP="00D563A4">
      <w:pPr>
        <w:tabs>
          <w:tab w:val="left" w:pos="-720"/>
          <w:tab w:val="left" w:pos="0"/>
          <w:tab w:val="left" w:pos="540"/>
          <w:tab w:val="left" w:pos="900"/>
          <w:tab w:val="left" w:pos="1260"/>
          <w:tab w:val="left" w:pos="1620"/>
        </w:tabs>
        <w:spacing w:after="120" w:line="247" w:lineRule="auto"/>
        <w:jc w:val="both"/>
        <w:rPr>
          <w:bCs/>
          <w:color w:val="000000"/>
          <w:sz w:val="22"/>
          <w:szCs w:val="22"/>
        </w:rPr>
      </w:pPr>
    </w:p>
    <w:p w14:paraId="5F43C224" w14:textId="77777777" w:rsidR="00E0029F" w:rsidRPr="00270077" w:rsidRDefault="00E0029F" w:rsidP="00843F9F">
      <w:pPr>
        <w:rPr>
          <w:bCs/>
          <w:color w:val="000000"/>
          <w:sz w:val="22"/>
          <w:szCs w:val="22"/>
        </w:rPr>
      </w:pPr>
      <w:r w:rsidRPr="00270077">
        <w:rPr>
          <w:bCs/>
          <w:color w:val="000000"/>
          <w:sz w:val="22"/>
          <w:szCs w:val="22"/>
        </w:rPr>
        <w:t>In subsection 601.02 add Class G Concrete:</w:t>
      </w:r>
    </w:p>
    <w:p w14:paraId="457BC7FA" w14:textId="77777777" w:rsidR="00E0029F" w:rsidRPr="00270077" w:rsidRDefault="00E0029F" w:rsidP="00843F9F">
      <w:pPr>
        <w:rPr>
          <w:bCs/>
          <w:color w:val="000000"/>
          <w:sz w:val="22"/>
          <w:szCs w:val="22"/>
        </w:rPr>
      </w:pPr>
    </w:p>
    <w:p w14:paraId="38B3A70D" w14:textId="1BF342B6" w:rsidR="00E0029F" w:rsidRPr="00270077" w:rsidRDefault="00E0029F" w:rsidP="009B24C6">
      <w:pPr>
        <w:rPr>
          <w:sz w:val="22"/>
          <w:szCs w:val="22"/>
        </w:rPr>
      </w:pPr>
      <w:r w:rsidRPr="00270077">
        <w:rPr>
          <w:b/>
          <w:sz w:val="22"/>
          <w:szCs w:val="22"/>
        </w:rPr>
        <w:t>Class G</w:t>
      </w:r>
      <w:r w:rsidRPr="00270077">
        <w:rPr>
          <w:sz w:val="22"/>
          <w:szCs w:val="22"/>
        </w:rPr>
        <w:t xml:space="preserve"> concrete is a low shrinkage macro</w:t>
      </w:r>
      <w:r w:rsidR="00223B3F">
        <w:rPr>
          <w:sz w:val="22"/>
          <w:szCs w:val="22"/>
        </w:rPr>
        <w:t xml:space="preserve"> </w:t>
      </w:r>
      <w:r w:rsidRPr="00270077">
        <w:rPr>
          <w:sz w:val="22"/>
          <w:szCs w:val="22"/>
        </w:rPr>
        <w:t>fiber</w:t>
      </w:r>
      <w:r w:rsidR="00223B3F">
        <w:rPr>
          <w:sz w:val="22"/>
          <w:szCs w:val="22"/>
        </w:rPr>
        <w:t>-</w:t>
      </w:r>
      <w:r w:rsidRPr="00270077">
        <w:rPr>
          <w:sz w:val="22"/>
          <w:szCs w:val="22"/>
        </w:rPr>
        <w:t xml:space="preserve">reinforced structural concrete.  Class G concrete may be substituted for Class B </w:t>
      </w:r>
      <w:r w:rsidR="00465486">
        <w:rPr>
          <w:sz w:val="22"/>
          <w:szCs w:val="22"/>
        </w:rPr>
        <w:t>or</w:t>
      </w:r>
      <w:r w:rsidRPr="00270077">
        <w:rPr>
          <w:sz w:val="22"/>
          <w:szCs w:val="22"/>
        </w:rPr>
        <w:t xml:space="preserve"> Class D concrete.  Additional requirements are:  </w:t>
      </w:r>
    </w:p>
    <w:p w14:paraId="5F1C6068" w14:textId="4B78CAF6" w:rsidR="00E0029F" w:rsidRPr="00270077" w:rsidRDefault="00223B3F" w:rsidP="00D23853">
      <w:pPr>
        <w:pStyle w:val="ListParagraph"/>
        <w:numPr>
          <w:ilvl w:val="0"/>
          <w:numId w:val="23"/>
        </w:numPr>
        <w:spacing w:after="0" w:line="240" w:lineRule="auto"/>
        <w:ind w:left="360"/>
        <w:rPr>
          <w:rFonts w:ascii="Times New Roman" w:hAnsi="Times New Roman"/>
        </w:rPr>
      </w:pPr>
      <w:r>
        <w:rPr>
          <w:rFonts w:ascii="Times New Roman" w:hAnsi="Times New Roman"/>
        </w:rPr>
        <w:t xml:space="preserve">The concrete </w:t>
      </w:r>
      <w:r w:rsidR="0079772C">
        <w:rPr>
          <w:rFonts w:ascii="Times New Roman" w:hAnsi="Times New Roman"/>
        </w:rPr>
        <w:t>s</w:t>
      </w:r>
      <w:r w:rsidR="00E0029F" w:rsidRPr="00270077">
        <w:rPr>
          <w:rFonts w:ascii="Times New Roman" w:hAnsi="Times New Roman"/>
        </w:rPr>
        <w:t xml:space="preserve">hall include a minimum of 4 pounds per cubic yard of </w:t>
      </w:r>
      <w:r>
        <w:rPr>
          <w:rFonts w:ascii="Times New Roman" w:hAnsi="Times New Roman"/>
        </w:rPr>
        <w:t>M</w:t>
      </w:r>
      <w:r w:rsidRPr="00270077">
        <w:rPr>
          <w:rFonts w:ascii="Times New Roman" w:hAnsi="Times New Roman"/>
        </w:rPr>
        <w:t xml:space="preserve">acro </w:t>
      </w:r>
      <w:r w:rsidR="00E0029F" w:rsidRPr="00270077">
        <w:rPr>
          <w:rFonts w:ascii="Times New Roman" w:hAnsi="Times New Roman"/>
        </w:rPr>
        <w:t xml:space="preserve">Fiber-Reinforcement.  </w:t>
      </w:r>
    </w:p>
    <w:p w14:paraId="5EAB68F2" w14:textId="77777777" w:rsidR="00E0029F" w:rsidRPr="00270077" w:rsidRDefault="00E0029F" w:rsidP="00D23853">
      <w:pPr>
        <w:pStyle w:val="ListParagraph"/>
        <w:numPr>
          <w:ilvl w:val="0"/>
          <w:numId w:val="23"/>
        </w:numPr>
        <w:spacing w:after="0" w:line="240" w:lineRule="auto"/>
        <w:ind w:left="360"/>
        <w:rPr>
          <w:rFonts w:ascii="Times New Roman" w:hAnsi="Times New Roman"/>
        </w:rPr>
      </w:pPr>
      <w:r w:rsidRPr="00270077">
        <w:rPr>
          <w:rFonts w:ascii="Times New Roman" w:hAnsi="Times New Roman"/>
        </w:rPr>
        <w:t xml:space="preserve">Shrinkage reducing admixtures may be incorporated into the mix.  </w:t>
      </w:r>
    </w:p>
    <w:p w14:paraId="70E5ECB8" w14:textId="77777777" w:rsidR="00E0029F" w:rsidRPr="00270077" w:rsidRDefault="00E0029F" w:rsidP="00D23853">
      <w:pPr>
        <w:pStyle w:val="ListParagraph"/>
        <w:numPr>
          <w:ilvl w:val="0"/>
          <w:numId w:val="23"/>
        </w:numPr>
        <w:spacing w:after="0" w:line="240" w:lineRule="auto"/>
        <w:ind w:left="360"/>
        <w:rPr>
          <w:rFonts w:ascii="Times New Roman" w:hAnsi="Times New Roman"/>
        </w:rPr>
      </w:pPr>
      <w:r w:rsidRPr="00270077">
        <w:rPr>
          <w:rFonts w:ascii="Times New Roman" w:hAnsi="Times New Roman"/>
        </w:rPr>
        <w:t xml:space="preserve">The unrestrained shrinkage shall be less than 0.030 percent when tested by CP-L 4103. </w:t>
      </w:r>
    </w:p>
    <w:p w14:paraId="3FB742C2" w14:textId="49962291" w:rsidR="00E0029F" w:rsidRPr="00270077" w:rsidRDefault="00E0029F" w:rsidP="00D23853">
      <w:pPr>
        <w:pStyle w:val="ListParagraph"/>
        <w:numPr>
          <w:ilvl w:val="0"/>
          <w:numId w:val="23"/>
        </w:numPr>
        <w:spacing w:after="0" w:line="240" w:lineRule="auto"/>
        <w:ind w:left="360"/>
        <w:rPr>
          <w:rFonts w:ascii="Times New Roman" w:hAnsi="Times New Roman"/>
        </w:rPr>
      </w:pPr>
      <w:r w:rsidRPr="00270077">
        <w:rPr>
          <w:rFonts w:ascii="Times New Roman" w:hAnsi="Times New Roman"/>
        </w:rPr>
        <w:t xml:space="preserve">The permeability of the mix shall not exceed 2,500 </w:t>
      </w:r>
      <w:r w:rsidR="00223B3F" w:rsidRPr="00A16C7D">
        <w:rPr>
          <w:rFonts w:ascii="Times New Roman" w:hAnsi="Times New Roman"/>
        </w:rPr>
        <w:t xml:space="preserve">coulombs </w:t>
      </w:r>
      <w:r w:rsidRPr="00A16C7D">
        <w:rPr>
          <w:rFonts w:ascii="Times New Roman" w:hAnsi="Times New Roman"/>
        </w:rPr>
        <w:t>at an age of not more than 56</w:t>
      </w:r>
      <w:r w:rsidRPr="00270077">
        <w:rPr>
          <w:rFonts w:ascii="Times New Roman" w:hAnsi="Times New Roman"/>
        </w:rPr>
        <w:t xml:space="preserve"> days </w:t>
      </w:r>
      <w:r w:rsidR="006F1055">
        <w:rPr>
          <w:rFonts w:ascii="Times New Roman" w:hAnsi="Times New Roman"/>
        </w:rPr>
        <w:t>when tested in accordance with</w:t>
      </w:r>
      <w:r w:rsidRPr="00270077">
        <w:rPr>
          <w:rFonts w:ascii="Times New Roman" w:hAnsi="Times New Roman"/>
        </w:rPr>
        <w:t xml:space="preserve"> ASTM C1202.  </w:t>
      </w:r>
    </w:p>
    <w:p w14:paraId="7488E650" w14:textId="6C5B3FE5" w:rsidR="00E0029F" w:rsidRPr="00270077" w:rsidRDefault="00794719" w:rsidP="00D23853">
      <w:pPr>
        <w:pStyle w:val="ListParagraph"/>
        <w:numPr>
          <w:ilvl w:val="0"/>
          <w:numId w:val="23"/>
        </w:numPr>
        <w:spacing w:after="0" w:line="240" w:lineRule="auto"/>
        <w:ind w:left="360"/>
        <w:rPr>
          <w:rFonts w:ascii="Times New Roman" w:hAnsi="Times New Roman"/>
        </w:rPr>
      </w:pPr>
      <w:r>
        <w:rPr>
          <w:rFonts w:ascii="Times New Roman" w:hAnsi="Times New Roman"/>
        </w:rPr>
        <w:t>T</w:t>
      </w:r>
      <w:r w:rsidR="00E0029F" w:rsidRPr="00270077">
        <w:rPr>
          <w:rFonts w:ascii="Times New Roman" w:hAnsi="Times New Roman"/>
        </w:rPr>
        <w:t xml:space="preserve">he mix </w:t>
      </w:r>
      <w:r>
        <w:rPr>
          <w:rFonts w:ascii="Times New Roman" w:hAnsi="Times New Roman"/>
        </w:rPr>
        <w:t xml:space="preserve">may </w:t>
      </w:r>
      <w:r w:rsidR="00E0029F" w:rsidRPr="00270077">
        <w:rPr>
          <w:rFonts w:ascii="Times New Roman" w:hAnsi="Times New Roman"/>
        </w:rPr>
        <w:t xml:space="preserve">contain more than 30 percent fly ash by weight of the total cementitious material.  </w:t>
      </w:r>
    </w:p>
    <w:p w14:paraId="42F88319" w14:textId="5CFA4055" w:rsidR="00E0029F" w:rsidRPr="00270077" w:rsidRDefault="00E0029F" w:rsidP="00D23853">
      <w:pPr>
        <w:pStyle w:val="ListParagraph"/>
        <w:numPr>
          <w:ilvl w:val="0"/>
          <w:numId w:val="23"/>
        </w:numPr>
        <w:spacing w:after="0" w:line="240" w:lineRule="auto"/>
        <w:ind w:left="360"/>
        <w:rPr>
          <w:rFonts w:ascii="Times New Roman" w:hAnsi="Times New Roman"/>
        </w:rPr>
      </w:pPr>
      <w:r w:rsidRPr="00270077">
        <w:rPr>
          <w:rFonts w:ascii="Times New Roman" w:hAnsi="Times New Roman"/>
        </w:rPr>
        <w:t xml:space="preserve">The mix </w:t>
      </w:r>
      <w:r w:rsidR="009B510C">
        <w:rPr>
          <w:rFonts w:ascii="Times New Roman" w:hAnsi="Times New Roman"/>
        </w:rPr>
        <w:t xml:space="preserve">may use an optimized gradation.  The mix </w:t>
      </w:r>
      <w:r w:rsidRPr="00270077">
        <w:rPr>
          <w:rFonts w:ascii="Times New Roman" w:hAnsi="Times New Roman"/>
        </w:rPr>
        <w:t>shall have a nominal maximum aggregate size of ¾ inch if an optimized gradation is not used.</w:t>
      </w:r>
    </w:p>
    <w:p w14:paraId="63EA940B" w14:textId="3C423C62" w:rsidR="00E0029F" w:rsidRPr="0060749C" w:rsidRDefault="00E0029F" w:rsidP="00D23853">
      <w:pPr>
        <w:pStyle w:val="ListParagraph"/>
        <w:numPr>
          <w:ilvl w:val="0"/>
          <w:numId w:val="23"/>
        </w:numPr>
        <w:tabs>
          <w:tab w:val="left" w:pos="-720"/>
          <w:tab w:val="left" w:pos="0"/>
          <w:tab w:val="left" w:pos="900"/>
          <w:tab w:val="left" w:pos="1260"/>
          <w:tab w:val="left" w:pos="1620"/>
        </w:tabs>
        <w:spacing w:after="0" w:line="247" w:lineRule="auto"/>
        <w:ind w:left="360"/>
        <w:rPr>
          <w:rFonts w:ascii="Times New Roman" w:hAnsi="Times New Roman"/>
          <w:color w:val="000000"/>
          <w:spacing w:val="-2"/>
        </w:rPr>
      </w:pPr>
      <w:r w:rsidRPr="0060749C">
        <w:rPr>
          <w:rFonts w:ascii="Times New Roman" w:hAnsi="Times New Roman"/>
          <w:color w:val="000000"/>
        </w:rPr>
        <w:t>An expansive cement additive may be added to an ASTM C150 Type I/II cement and fly ash to produce an ASTM C845 Type K cement.  Approximately 15</w:t>
      </w:r>
      <w:r w:rsidR="004D4D95">
        <w:rPr>
          <w:rFonts w:ascii="Times New Roman" w:hAnsi="Times New Roman"/>
          <w:color w:val="000000"/>
        </w:rPr>
        <w:t xml:space="preserve"> to </w:t>
      </w:r>
      <w:r w:rsidRPr="0060749C">
        <w:rPr>
          <w:rFonts w:ascii="Times New Roman" w:hAnsi="Times New Roman"/>
          <w:color w:val="000000"/>
        </w:rPr>
        <w:t>20 percent by weight of the cementitious content of the concrete will be the expansive cement additive.  The proportion of the expansive cement additive will be determined by testing the cementitious material blend in accordance with ASTM C806</w:t>
      </w:r>
      <w:r w:rsidR="004D4D95">
        <w:rPr>
          <w:rFonts w:ascii="Times New Roman" w:hAnsi="Times New Roman"/>
          <w:color w:val="000000"/>
        </w:rPr>
        <w:t>.</w:t>
      </w:r>
      <w:r w:rsidRPr="0060749C">
        <w:rPr>
          <w:rFonts w:ascii="Times New Roman" w:hAnsi="Times New Roman"/>
          <w:color w:val="000000"/>
        </w:rPr>
        <w:t xml:space="preserve">  The blended material shall have an expansion of 0.04 to 0.10 percent at 7</w:t>
      </w:r>
      <w:r w:rsidR="004D4D95">
        <w:rPr>
          <w:rFonts w:ascii="Times New Roman" w:hAnsi="Times New Roman"/>
          <w:color w:val="000000"/>
        </w:rPr>
        <w:t xml:space="preserve"> </w:t>
      </w:r>
      <w:r w:rsidRPr="0060749C">
        <w:rPr>
          <w:rFonts w:ascii="Times New Roman" w:hAnsi="Times New Roman"/>
          <w:color w:val="000000"/>
        </w:rPr>
        <w:t>days when tested in accordance with ASTM C806</w:t>
      </w:r>
      <w:r w:rsidRPr="0060749C">
        <w:rPr>
          <w:rFonts w:ascii="Times New Roman" w:hAnsi="Times New Roman"/>
          <w:color w:val="000000"/>
          <w:spacing w:val="-2"/>
        </w:rPr>
        <w:t>.</w:t>
      </w:r>
    </w:p>
    <w:p w14:paraId="393E5A2A" w14:textId="77777777" w:rsidR="00E0029F" w:rsidRPr="00270077" w:rsidRDefault="00E0029F" w:rsidP="00D23853">
      <w:pPr>
        <w:ind w:left="360"/>
        <w:rPr>
          <w:color w:val="000000"/>
          <w:spacing w:val="-2"/>
          <w:sz w:val="22"/>
          <w:szCs w:val="22"/>
        </w:rPr>
      </w:pPr>
      <w:r w:rsidRPr="00270077">
        <w:rPr>
          <w:color w:val="000000"/>
          <w:spacing w:val="-2"/>
          <w:sz w:val="22"/>
          <w:szCs w:val="22"/>
        </w:rPr>
        <w:t>When an expansive cement is used the w/cm ratio shall be 0.45 to 0.55, and t</w:t>
      </w:r>
      <w:r w:rsidRPr="00270077">
        <w:rPr>
          <w:bCs/>
          <w:color w:val="000000"/>
          <w:sz w:val="22"/>
          <w:szCs w:val="22"/>
        </w:rPr>
        <w:t>he expansion of the laboratory trial mix shall be 0.05 to 0.09 percent at 7 days when tested in accordance with ASTM C878.</w:t>
      </w:r>
    </w:p>
    <w:p w14:paraId="2815D3E0" w14:textId="77777777" w:rsidR="00E0029F" w:rsidRPr="00270077" w:rsidRDefault="00E0029F" w:rsidP="00843F9F">
      <w:pPr>
        <w:ind w:left="360"/>
        <w:rPr>
          <w:sz w:val="22"/>
          <w:szCs w:val="22"/>
        </w:rPr>
      </w:pPr>
    </w:p>
    <w:p w14:paraId="08DE596F" w14:textId="11DB7C0E" w:rsidR="00E0029F" w:rsidRPr="00270077" w:rsidRDefault="00E0029F" w:rsidP="00942834">
      <w:pPr>
        <w:rPr>
          <w:sz w:val="22"/>
          <w:szCs w:val="22"/>
        </w:rPr>
      </w:pPr>
      <w:r w:rsidRPr="00270077">
        <w:rPr>
          <w:sz w:val="22"/>
          <w:szCs w:val="22"/>
        </w:rPr>
        <w:t>Subsection 601.16 shall include the following</w:t>
      </w:r>
      <w:r w:rsidR="0060749C">
        <w:rPr>
          <w:sz w:val="22"/>
          <w:szCs w:val="22"/>
        </w:rPr>
        <w:t xml:space="preserve"> after the </w:t>
      </w:r>
      <w:r w:rsidR="00500060">
        <w:rPr>
          <w:sz w:val="22"/>
          <w:szCs w:val="22"/>
        </w:rPr>
        <w:t xml:space="preserve">second sentence of the first </w:t>
      </w:r>
      <w:r w:rsidR="0060749C">
        <w:rPr>
          <w:sz w:val="22"/>
          <w:szCs w:val="22"/>
        </w:rPr>
        <w:t>paragraph</w:t>
      </w:r>
      <w:r w:rsidRPr="00270077">
        <w:rPr>
          <w:sz w:val="22"/>
          <w:szCs w:val="22"/>
        </w:rPr>
        <w:t>:</w:t>
      </w:r>
    </w:p>
    <w:p w14:paraId="5519AF4B" w14:textId="77777777" w:rsidR="00E0029F" w:rsidRPr="00270077" w:rsidRDefault="00E0029F" w:rsidP="00942834">
      <w:pPr>
        <w:rPr>
          <w:sz w:val="22"/>
          <w:szCs w:val="22"/>
        </w:rPr>
      </w:pPr>
    </w:p>
    <w:p w14:paraId="35F785C5" w14:textId="608BC1C9" w:rsidR="00505F63" w:rsidRDefault="00E0029F" w:rsidP="009B510C">
      <w:pPr>
        <w:pStyle w:val="BodyText2"/>
        <w:widowControl/>
        <w:tabs>
          <w:tab w:val="left" w:pos="1152"/>
          <w:tab w:val="left" w:pos="1728"/>
        </w:tabs>
        <w:autoSpaceDE/>
        <w:autoSpaceDN/>
        <w:spacing w:line="247" w:lineRule="auto"/>
      </w:pPr>
      <w:r w:rsidRPr="00270077">
        <w:rPr>
          <w:rFonts w:ascii="Times New Roman" w:hAnsi="Times New Roman" w:cs="Times New Roman"/>
          <w:color w:val="000000"/>
        </w:rPr>
        <w:t>Class G concrete with an expansive cement shall be cured</w:t>
      </w:r>
      <w:r w:rsidR="0060749C">
        <w:rPr>
          <w:rFonts w:ascii="Times New Roman" w:hAnsi="Times New Roman" w:cs="Times New Roman"/>
          <w:color w:val="000000"/>
        </w:rPr>
        <w:t xml:space="preserve"> with the </w:t>
      </w:r>
      <w:r w:rsidR="00500060">
        <w:rPr>
          <w:rFonts w:ascii="Times New Roman" w:hAnsi="Times New Roman" w:cs="Times New Roman"/>
          <w:color w:val="000000"/>
        </w:rPr>
        <w:t>water cure method</w:t>
      </w:r>
      <w:r w:rsidR="0060749C">
        <w:rPr>
          <w:rFonts w:ascii="Times New Roman" w:hAnsi="Times New Roman" w:cs="Times New Roman"/>
          <w:color w:val="000000"/>
        </w:rPr>
        <w:t>.  The minimum curing period shall be 168 hours.</w:t>
      </w:r>
    </w:p>
    <w:p w14:paraId="3C01A7CA" w14:textId="77777777" w:rsidR="00E0029F" w:rsidRPr="00270077" w:rsidRDefault="00E0029F" w:rsidP="004042DC">
      <w:pPr>
        <w:rPr>
          <w:sz w:val="22"/>
          <w:szCs w:val="22"/>
        </w:rPr>
      </w:pPr>
    </w:p>
    <w:p w14:paraId="73D3B533" w14:textId="7896825C" w:rsidR="00E0029F" w:rsidRPr="00270077" w:rsidRDefault="009B510C" w:rsidP="00942834">
      <w:pPr>
        <w:rPr>
          <w:sz w:val="22"/>
          <w:szCs w:val="22"/>
        </w:rPr>
      </w:pPr>
      <w:r>
        <w:rPr>
          <w:sz w:val="22"/>
          <w:szCs w:val="22"/>
        </w:rPr>
        <w:t xml:space="preserve">Delete </w:t>
      </w:r>
      <w:r w:rsidR="00555692">
        <w:rPr>
          <w:sz w:val="22"/>
          <w:szCs w:val="22"/>
        </w:rPr>
        <w:t>s</w:t>
      </w:r>
      <w:r w:rsidR="00E0029F" w:rsidRPr="00270077">
        <w:rPr>
          <w:sz w:val="22"/>
          <w:szCs w:val="22"/>
        </w:rPr>
        <w:t>ubsection 601.17</w:t>
      </w:r>
      <w:r w:rsidR="00465486">
        <w:rPr>
          <w:sz w:val="22"/>
          <w:szCs w:val="22"/>
        </w:rPr>
        <w:t xml:space="preserve">(g) </w:t>
      </w:r>
      <w:r>
        <w:rPr>
          <w:sz w:val="22"/>
          <w:szCs w:val="22"/>
        </w:rPr>
        <w:t>and replace</w:t>
      </w:r>
      <w:r w:rsidR="00465486">
        <w:rPr>
          <w:sz w:val="22"/>
          <w:szCs w:val="22"/>
        </w:rPr>
        <w:t xml:space="preserve"> it</w:t>
      </w:r>
      <w:r>
        <w:rPr>
          <w:sz w:val="22"/>
          <w:szCs w:val="22"/>
        </w:rPr>
        <w:t xml:space="preserve"> with</w:t>
      </w:r>
      <w:r w:rsidR="00E0029F" w:rsidRPr="00270077">
        <w:rPr>
          <w:sz w:val="22"/>
          <w:szCs w:val="22"/>
        </w:rPr>
        <w:t xml:space="preserve"> the following:</w:t>
      </w:r>
    </w:p>
    <w:p w14:paraId="1BDB4F2E" w14:textId="77777777" w:rsidR="00E0029F" w:rsidRPr="00270077" w:rsidRDefault="00E0029F" w:rsidP="00942834">
      <w:pPr>
        <w:rPr>
          <w:sz w:val="22"/>
          <w:szCs w:val="22"/>
        </w:rPr>
      </w:pPr>
    </w:p>
    <w:p w14:paraId="47794FAF" w14:textId="288D9B03" w:rsidR="00E0029F" w:rsidRPr="00270077" w:rsidRDefault="00E0029F" w:rsidP="00942834">
      <w:pPr>
        <w:rPr>
          <w:sz w:val="22"/>
          <w:szCs w:val="22"/>
        </w:rPr>
      </w:pPr>
      <w:r w:rsidRPr="00270077">
        <w:rPr>
          <w:sz w:val="22"/>
          <w:szCs w:val="22"/>
        </w:rPr>
        <w:t>(g) W</w:t>
      </w:r>
      <w:r w:rsidRPr="00270077">
        <w:rPr>
          <w:i/>
          <w:sz w:val="22"/>
          <w:szCs w:val="22"/>
        </w:rPr>
        <w:t xml:space="preserve">ater to </w:t>
      </w:r>
      <w:r w:rsidR="00465486">
        <w:rPr>
          <w:i/>
          <w:sz w:val="22"/>
          <w:szCs w:val="22"/>
        </w:rPr>
        <w:t>C</w:t>
      </w:r>
      <w:r w:rsidR="00465486" w:rsidRPr="00270077">
        <w:rPr>
          <w:i/>
          <w:sz w:val="22"/>
          <w:szCs w:val="22"/>
        </w:rPr>
        <w:t xml:space="preserve">ementitious </w:t>
      </w:r>
      <w:r w:rsidR="00465486">
        <w:rPr>
          <w:i/>
          <w:sz w:val="22"/>
          <w:szCs w:val="22"/>
        </w:rPr>
        <w:t>M</w:t>
      </w:r>
      <w:r w:rsidRPr="00270077">
        <w:rPr>
          <w:i/>
          <w:sz w:val="22"/>
          <w:szCs w:val="22"/>
        </w:rPr>
        <w:t xml:space="preserve">aterial </w:t>
      </w:r>
      <w:r w:rsidR="00465486">
        <w:rPr>
          <w:i/>
          <w:sz w:val="22"/>
          <w:szCs w:val="22"/>
        </w:rPr>
        <w:t>C</w:t>
      </w:r>
      <w:r w:rsidRPr="00270077">
        <w:rPr>
          <w:i/>
          <w:sz w:val="22"/>
          <w:szCs w:val="22"/>
        </w:rPr>
        <w:t xml:space="preserve">ontent (w/cm) </w:t>
      </w:r>
      <w:r w:rsidR="00465486">
        <w:rPr>
          <w:i/>
          <w:sz w:val="22"/>
          <w:szCs w:val="22"/>
        </w:rPr>
        <w:t>R</w:t>
      </w:r>
      <w:r w:rsidRPr="00270077">
        <w:rPr>
          <w:i/>
          <w:sz w:val="22"/>
          <w:szCs w:val="22"/>
        </w:rPr>
        <w:t xml:space="preserve">atio.  </w:t>
      </w:r>
      <w:r w:rsidR="00465486">
        <w:rPr>
          <w:sz w:val="22"/>
          <w:szCs w:val="22"/>
        </w:rPr>
        <w:t xml:space="preserve">When </w:t>
      </w:r>
      <w:r w:rsidRPr="00270077">
        <w:rPr>
          <w:sz w:val="22"/>
          <w:szCs w:val="22"/>
        </w:rPr>
        <w:t>Class G concrete</w:t>
      </w:r>
      <w:r w:rsidR="009B510C">
        <w:rPr>
          <w:sz w:val="22"/>
          <w:szCs w:val="22"/>
        </w:rPr>
        <w:t xml:space="preserve"> </w:t>
      </w:r>
      <w:r w:rsidR="00465486">
        <w:rPr>
          <w:sz w:val="22"/>
          <w:szCs w:val="22"/>
        </w:rPr>
        <w:t>or</w:t>
      </w:r>
      <w:r w:rsidR="003B664D" w:rsidRPr="003B664D">
        <w:rPr>
          <w:sz w:val="22"/>
          <w:szCs w:val="22"/>
        </w:rPr>
        <w:t xml:space="preserve"> a non-standard concrete is used the maximum w/cm ratio is the w/cm ratio that was used in the laboratory trial mix for the Concrete mix design except when an optimized gradation is the only deviation from the Standard Class B, Class BZ, Class D, Class DT, Class E, and Class P concrete requirements. The w/cm ratio shall be determined for each batch of non-standard concrete by the Contractor and provided to the Engineer for approval prior to placement. If an adjustment to the mix is made after the Engineer’s approval, the w/cm shall be determined and submitted to the Engineer prior to the continuation of placement. Any non-standard concrete that is placed without the Engineer’s approval shall be removed and replaced at the Contractor’s expense</w:t>
      </w:r>
      <w:r w:rsidR="00465486">
        <w:rPr>
          <w:sz w:val="22"/>
          <w:szCs w:val="22"/>
        </w:rPr>
        <w:t>.</w:t>
      </w:r>
    </w:p>
    <w:sectPr w:rsidR="00E0029F" w:rsidRPr="00270077" w:rsidSect="003C3F1C">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260E" w14:textId="77777777" w:rsidR="007E3D2B" w:rsidRDefault="007E3D2B" w:rsidP="00F878BD">
      <w:r>
        <w:separator/>
      </w:r>
    </w:p>
  </w:endnote>
  <w:endnote w:type="continuationSeparator" w:id="0">
    <w:p w14:paraId="7B27093D" w14:textId="77777777" w:rsidR="007E3D2B" w:rsidRDefault="007E3D2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E2223" w14:textId="77777777" w:rsidR="007E3D2B" w:rsidRDefault="007E3D2B" w:rsidP="00F878BD">
      <w:r>
        <w:separator/>
      </w:r>
    </w:p>
  </w:footnote>
  <w:footnote w:type="continuationSeparator" w:id="0">
    <w:p w14:paraId="40978782" w14:textId="77777777" w:rsidR="007E3D2B" w:rsidRDefault="007E3D2B" w:rsidP="00F87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62515"/>
    <w:multiLevelType w:val="hybridMultilevel"/>
    <w:tmpl w:val="91969DB6"/>
    <w:lvl w:ilvl="0" w:tplc="BD167480">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F90F33"/>
    <w:multiLevelType w:val="hybridMultilevel"/>
    <w:tmpl w:val="DD2A2A8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18"/>
  </w:num>
  <w:num w:numId="4">
    <w:abstractNumId w:val="2"/>
  </w:num>
  <w:num w:numId="5">
    <w:abstractNumId w:val="14"/>
  </w:num>
  <w:num w:numId="6">
    <w:abstractNumId w:val="17"/>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20"/>
  </w:num>
  <w:num w:numId="17">
    <w:abstractNumId w:val="22"/>
  </w:num>
  <w:num w:numId="18">
    <w:abstractNumId w:val="3"/>
  </w:num>
  <w:num w:numId="19">
    <w:abstractNumId w:val="21"/>
  </w:num>
  <w:num w:numId="20">
    <w:abstractNumId w:val="9"/>
  </w:num>
  <w:num w:numId="21">
    <w:abstractNumId w:val="19"/>
  </w:num>
  <w:num w:numId="22">
    <w:abstractNumId w:val="2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0FF"/>
    <w:rsid w:val="000225FA"/>
    <w:rsid w:val="00024AEE"/>
    <w:rsid w:val="00085D20"/>
    <w:rsid w:val="00090E79"/>
    <w:rsid w:val="00096356"/>
    <w:rsid w:val="000B32DE"/>
    <w:rsid w:val="000B4474"/>
    <w:rsid w:val="000C3C6B"/>
    <w:rsid w:val="000C699C"/>
    <w:rsid w:val="000E3C78"/>
    <w:rsid w:val="000E5204"/>
    <w:rsid w:val="000E76DF"/>
    <w:rsid w:val="000F770C"/>
    <w:rsid w:val="0010474A"/>
    <w:rsid w:val="0010525A"/>
    <w:rsid w:val="001709B4"/>
    <w:rsid w:val="001A7BED"/>
    <w:rsid w:val="001C3F85"/>
    <w:rsid w:val="001D4BDD"/>
    <w:rsid w:val="001E2C1C"/>
    <w:rsid w:val="001E6C22"/>
    <w:rsid w:val="002117D5"/>
    <w:rsid w:val="00214CEC"/>
    <w:rsid w:val="00222B35"/>
    <w:rsid w:val="00223B3F"/>
    <w:rsid w:val="00230276"/>
    <w:rsid w:val="00231F7F"/>
    <w:rsid w:val="00240F9D"/>
    <w:rsid w:val="00270077"/>
    <w:rsid w:val="002714AF"/>
    <w:rsid w:val="00272482"/>
    <w:rsid w:val="00277BFD"/>
    <w:rsid w:val="003162A2"/>
    <w:rsid w:val="003823FC"/>
    <w:rsid w:val="00394329"/>
    <w:rsid w:val="003B664D"/>
    <w:rsid w:val="003C3F1C"/>
    <w:rsid w:val="003C5C2E"/>
    <w:rsid w:val="003E4531"/>
    <w:rsid w:val="003F17DD"/>
    <w:rsid w:val="004249F3"/>
    <w:rsid w:val="00441D2F"/>
    <w:rsid w:val="00465486"/>
    <w:rsid w:val="00491F8B"/>
    <w:rsid w:val="004B09DE"/>
    <w:rsid w:val="004D4D95"/>
    <w:rsid w:val="004F1849"/>
    <w:rsid w:val="004F79CD"/>
    <w:rsid w:val="00500060"/>
    <w:rsid w:val="005040D7"/>
    <w:rsid w:val="00505F63"/>
    <w:rsid w:val="00523E48"/>
    <w:rsid w:val="00555692"/>
    <w:rsid w:val="0056039E"/>
    <w:rsid w:val="00572D1D"/>
    <w:rsid w:val="005A6467"/>
    <w:rsid w:val="005B7257"/>
    <w:rsid w:val="005F2B32"/>
    <w:rsid w:val="0060749C"/>
    <w:rsid w:val="00655812"/>
    <w:rsid w:val="0065692B"/>
    <w:rsid w:val="006B1A52"/>
    <w:rsid w:val="006F1055"/>
    <w:rsid w:val="0070029E"/>
    <w:rsid w:val="00706DF8"/>
    <w:rsid w:val="007115ED"/>
    <w:rsid w:val="0071231C"/>
    <w:rsid w:val="00726A77"/>
    <w:rsid w:val="00772D76"/>
    <w:rsid w:val="007735BF"/>
    <w:rsid w:val="007854AB"/>
    <w:rsid w:val="007922A8"/>
    <w:rsid w:val="00794719"/>
    <w:rsid w:val="0079772C"/>
    <w:rsid w:val="007B2936"/>
    <w:rsid w:val="007D24E5"/>
    <w:rsid w:val="007E3D2B"/>
    <w:rsid w:val="00814549"/>
    <w:rsid w:val="00832508"/>
    <w:rsid w:val="00870736"/>
    <w:rsid w:val="00891B09"/>
    <w:rsid w:val="00897666"/>
    <w:rsid w:val="008B3BFC"/>
    <w:rsid w:val="008C01C0"/>
    <w:rsid w:val="008C59FF"/>
    <w:rsid w:val="008D4DE9"/>
    <w:rsid w:val="008E6E23"/>
    <w:rsid w:val="00923AF8"/>
    <w:rsid w:val="00935ABF"/>
    <w:rsid w:val="00973DFA"/>
    <w:rsid w:val="00987248"/>
    <w:rsid w:val="009A40E9"/>
    <w:rsid w:val="009B3EF3"/>
    <w:rsid w:val="009B479F"/>
    <w:rsid w:val="009B510C"/>
    <w:rsid w:val="009B5A20"/>
    <w:rsid w:val="009F3FE4"/>
    <w:rsid w:val="00A01B01"/>
    <w:rsid w:val="00A14275"/>
    <w:rsid w:val="00A16C7D"/>
    <w:rsid w:val="00A27DE7"/>
    <w:rsid w:val="00A345B0"/>
    <w:rsid w:val="00A54F34"/>
    <w:rsid w:val="00A7142E"/>
    <w:rsid w:val="00A73269"/>
    <w:rsid w:val="00A733F5"/>
    <w:rsid w:val="00A76618"/>
    <w:rsid w:val="00A92397"/>
    <w:rsid w:val="00AA36CC"/>
    <w:rsid w:val="00AB028C"/>
    <w:rsid w:val="00AB325B"/>
    <w:rsid w:val="00AB5B65"/>
    <w:rsid w:val="00AC7AF4"/>
    <w:rsid w:val="00AD68C0"/>
    <w:rsid w:val="00B01156"/>
    <w:rsid w:val="00B03922"/>
    <w:rsid w:val="00B25927"/>
    <w:rsid w:val="00B35BBC"/>
    <w:rsid w:val="00B71AEB"/>
    <w:rsid w:val="00B91FF1"/>
    <w:rsid w:val="00BB562D"/>
    <w:rsid w:val="00C26D30"/>
    <w:rsid w:val="00C40133"/>
    <w:rsid w:val="00C5094A"/>
    <w:rsid w:val="00C548D8"/>
    <w:rsid w:val="00C82257"/>
    <w:rsid w:val="00C83114"/>
    <w:rsid w:val="00C93280"/>
    <w:rsid w:val="00CC309C"/>
    <w:rsid w:val="00D13D83"/>
    <w:rsid w:val="00D16104"/>
    <w:rsid w:val="00D23853"/>
    <w:rsid w:val="00DC17CB"/>
    <w:rsid w:val="00DE7DCD"/>
    <w:rsid w:val="00E0029F"/>
    <w:rsid w:val="00E0363D"/>
    <w:rsid w:val="00E208F0"/>
    <w:rsid w:val="00E272EF"/>
    <w:rsid w:val="00E5788C"/>
    <w:rsid w:val="00E6319F"/>
    <w:rsid w:val="00E647BB"/>
    <w:rsid w:val="00E80ECC"/>
    <w:rsid w:val="00E85CC9"/>
    <w:rsid w:val="00EA5566"/>
    <w:rsid w:val="00EA7A41"/>
    <w:rsid w:val="00EC2A21"/>
    <w:rsid w:val="00EC4AEF"/>
    <w:rsid w:val="00ED7C6E"/>
    <w:rsid w:val="00EF1243"/>
    <w:rsid w:val="00F07B65"/>
    <w:rsid w:val="00F31AF8"/>
    <w:rsid w:val="00F57B5A"/>
    <w:rsid w:val="00F605A4"/>
    <w:rsid w:val="00F6725A"/>
    <w:rsid w:val="00F878BD"/>
    <w:rsid w:val="00F95A59"/>
    <w:rsid w:val="00FB792D"/>
    <w:rsid w:val="00FC0225"/>
    <w:rsid w:val="00FD2B9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BodyText2">
    <w:name w:val="Body Text 2"/>
    <w:basedOn w:val="Normal"/>
    <w:link w:val="BodyText2Char"/>
    <w:uiPriority w:val="99"/>
    <w:rsid w:val="00E0029F"/>
    <w:pPr>
      <w:widowControl w:val="0"/>
      <w:autoSpaceDE w:val="0"/>
      <w:autoSpaceDN w:val="0"/>
    </w:pPr>
    <w:rPr>
      <w:rFonts w:ascii="Courier New" w:hAnsi="Courier New" w:cs="Courier New"/>
      <w:sz w:val="22"/>
      <w:szCs w:val="22"/>
    </w:rPr>
  </w:style>
  <w:style w:type="character" w:customStyle="1" w:styleId="BodyText2Char">
    <w:name w:val="Body Text 2 Char"/>
    <w:basedOn w:val="DefaultParagraphFont"/>
    <w:link w:val="BodyText2"/>
    <w:uiPriority w:val="99"/>
    <w:rsid w:val="00E0029F"/>
    <w:rPr>
      <w:rFonts w:ascii="Courier New" w:hAnsi="Courier New" w:cs="Courier New"/>
      <w:sz w:val="22"/>
      <w:szCs w:val="22"/>
    </w:rPr>
  </w:style>
  <w:style w:type="paragraph" w:styleId="Revision">
    <w:name w:val="Revision"/>
    <w:hidden/>
    <w:uiPriority w:val="99"/>
    <w:semiHidden/>
    <w:rsid w:val="009B510C"/>
  </w:style>
  <w:style w:type="paragraph" w:styleId="Footer">
    <w:name w:val="footer"/>
    <w:basedOn w:val="Normal"/>
    <w:link w:val="FooterChar"/>
    <w:rsid w:val="00AD68C0"/>
    <w:pPr>
      <w:tabs>
        <w:tab w:val="center" w:pos="4680"/>
        <w:tab w:val="right" w:pos="9360"/>
      </w:tabs>
    </w:pPr>
  </w:style>
  <w:style w:type="character" w:customStyle="1" w:styleId="FooterChar">
    <w:name w:val="Footer Char"/>
    <w:basedOn w:val="DefaultParagraphFont"/>
    <w:link w:val="Footer"/>
    <w:rsid w:val="00AD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9625">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T_ConcreteMixDesign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26</cp:revision>
  <cp:lastPrinted>2018-09-26T18:38:00Z</cp:lastPrinted>
  <dcterms:created xsi:type="dcterms:W3CDTF">2018-09-26T18:43:00Z</dcterms:created>
  <dcterms:modified xsi:type="dcterms:W3CDTF">2018-11-08T18:00:00Z</dcterms:modified>
</cp:coreProperties>
</file>