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76" w:rsidRDefault="003B3576" w:rsidP="003B3576"/>
    <w:p w:rsidR="003B3576" w:rsidRDefault="003B3576">
      <w:pPr>
        <w:rPr>
          <w:sz w:val="22"/>
        </w:rPr>
      </w:pPr>
    </w:p>
    <w:p w:rsidR="003B3576" w:rsidRPr="00375809" w:rsidRDefault="003B3576" w:rsidP="00AA0A91">
      <w:pPr>
        <w:rPr>
          <w:vanish/>
          <w:sz w:val="28"/>
          <w:szCs w:val="28"/>
        </w:rPr>
      </w:pPr>
      <w:r>
        <w:rPr>
          <w:vanish/>
          <w:sz w:val="28"/>
          <w:szCs w:val="28"/>
        </w:rPr>
        <w:t>March 12</w:t>
      </w:r>
      <w:r w:rsidRPr="00375809">
        <w:rPr>
          <w:vanish/>
          <w:sz w:val="28"/>
          <w:szCs w:val="28"/>
        </w:rPr>
        <w:t>, 2015</w:t>
      </w:r>
    </w:p>
    <w:p w:rsidR="003B3576" w:rsidRPr="001A224D" w:rsidRDefault="003B3576" w:rsidP="00AA0A91">
      <w:pPr>
        <w:tabs>
          <w:tab w:val="right" w:pos="8640"/>
        </w:tabs>
        <w:jc w:val="right"/>
        <w:rPr>
          <w:rFonts w:ascii="Arial" w:hAnsi="Arial" w:cs="Arial"/>
          <w:b/>
          <w:bCs/>
          <w:sz w:val="28"/>
          <w:szCs w:val="28"/>
        </w:rPr>
      </w:pPr>
      <w:r w:rsidRPr="005B4E6E">
        <w:rPr>
          <w:rFonts w:ascii="Arial" w:hAnsi="Arial" w:cs="Arial"/>
        </w:rPr>
        <w:tab/>
      </w:r>
      <w:r w:rsidR="001A224D" w:rsidRPr="001A224D">
        <w:rPr>
          <w:rFonts w:ascii="Arial" w:hAnsi="Arial" w:cs="Arial"/>
          <w:sz w:val="28"/>
          <w:szCs w:val="28"/>
        </w:rPr>
        <w:t>July 3, 2017</w:t>
      </w:r>
    </w:p>
    <w:p w:rsidR="003B3576" w:rsidRPr="005B4E6E" w:rsidRDefault="003B3576" w:rsidP="001F6635">
      <w:pPr>
        <w:jc w:val="right"/>
        <w:rPr>
          <w:rFonts w:ascii="Arial" w:hAnsi="Arial" w:cs="Arial"/>
        </w:rPr>
      </w:pPr>
    </w:p>
    <w:p w:rsidR="003B3576" w:rsidRPr="005B4E6E" w:rsidRDefault="003B3576" w:rsidP="00AA0A91">
      <w:pPr>
        <w:tabs>
          <w:tab w:val="right" w:pos="8640"/>
        </w:tabs>
        <w:jc w:val="center"/>
        <w:rPr>
          <w:rFonts w:ascii="Arial" w:hAnsi="Arial" w:cs="Arial"/>
        </w:rPr>
      </w:pPr>
      <w:r w:rsidRPr="005B4E6E">
        <w:rPr>
          <w:rFonts w:ascii="Arial" w:hAnsi="Arial" w:cs="Arial"/>
        </w:rPr>
        <w:t>REVISION OF SECTION</w:t>
      </w:r>
      <w:r w:rsidR="0058443C">
        <w:rPr>
          <w:rFonts w:ascii="Arial" w:hAnsi="Arial" w:cs="Arial"/>
        </w:rPr>
        <w:t xml:space="preserve"> 105</w:t>
      </w:r>
    </w:p>
    <w:p w:rsidR="0058443C"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 xml:space="preserve">CONFORMITY TO THE CONTRACT OF </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PORTLAND CEMENT CONCRETE PAVEMENT</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rPr>
      </w:pPr>
    </w:p>
    <w:p w:rsidR="003B3576" w:rsidRPr="00576607"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576607">
        <w:rPr>
          <w:rFonts w:ascii="Arial" w:hAnsi="Arial" w:cs="Arial"/>
          <w:b/>
          <w:bCs/>
          <w:sz w:val="40"/>
          <w:szCs w:val="40"/>
        </w:rPr>
        <w:t>NOTICE</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This is a standard special provision that revises or modifies CDOT’s </w:t>
      </w:r>
      <w:r w:rsidRPr="005B4E6E">
        <w:rPr>
          <w:rFonts w:ascii="Arial" w:hAnsi="Arial" w:cs="Arial"/>
          <w:i/>
          <w:iCs/>
        </w:rPr>
        <w:t>Standard Specifications for Road and Bridge Construction.</w:t>
      </w:r>
      <w:r w:rsidRPr="005B4E6E">
        <w:rPr>
          <w:rFonts w:ascii="Arial" w:hAnsi="Arial" w:cs="Arial"/>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Other agencies which use the </w:t>
      </w:r>
      <w:r w:rsidRPr="005B4E6E">
        <w:rPr>
          <w:rFonts w:ascii="Arial" w:hAnsi="Arial" w:cs="Arial"/>
          <w:i/>
          <w:iCs/>
        </w:rPr>
        <w:t>Standard Specifications for Road and Bridge Construction</w:t>
      </w:r>
      <w:r w:rsidRPr="005B4E6E">
        <w:rPr>
          <w:rFonts w:ascii="Arial" w:hAnsi="Arial" w:cs="Arial"/>
        </w:rPr>
        <w:t xml:space="preserve"> to administer construction projects may use this special provision as appropriate and at their own risk.</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bCs/>
          <w:color w:val="800000"/>
        </w:rPr>
      </w:pPr>
      <w:r w:rsidRPr="005B4E6E">
        <w:rPr>
          <w:rFonts w:ascii="Arial" w:hAnsi="Arial" w:cs="Arial"/>
          <w:b/>
          <w:bCs/>
          <w:color w:val="800000"/>
        </w:rPr>
        <w:t xml:space="preserve">Instructions for use on CDOT construction projects:  </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Use on all projects with Concrete Class E and Class P</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rsidP="001F6635">
      <w:pPr>
        <w:rPr>
          <w:rFonts w:ascii="Arial" w:hAnsi="Arial" w:cs="Arial"/>
          <w:bCs/>
          <w:color w:val="000000"/>
        </w:rPr>
      </w:pPr>
      <w:r w:rsidRPr="005B4E6E">
        <w:rPr>
          <w:rFonts w:ascii="Arial" w:hAnsi="Arial" w:cs="Arial"/>
          <w:bCs/>
          <w:color w:val="000000"/>
        </w:rPr>
        <w:t>The designer will place a note in the General Notes indicating whether the project will be accepted by flexural strength or compressive strength.</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The Region Materials Engineer shall be consulted for assigning the acceptance criteria.</w:t>
      </w:r>
    </w:p>
    <w:p w:rsidR="003B3576" w:rsidRPr="005B4E6E" w:rsidRDefault="003B3576" w:rsidP="001F6635">
      <w:pPr>
        <w:rPr>
          <w:rFonts w:ascii="Arial" w:hAnsi="Arial" w:cs="Arial"/>
          <w:bCs/>
          <w:color w:val="000000"/>
        </w:rPr>
      </w:pPr>
    </w:p>
    <w:p w:rsidR="003B3576" w:rsidRPr="005B4E6E" w:rsidRDefault="003B3576" w:rsidP="001F6635">
      <w:pPr>
        <w:rPr>
          <w:rFonts w:ascii="Arial" w:hAnsi="Arial" w:cs="Arial"/>
          <w:bCs/>
          <w:color w:val="000000"/>
        </w:rPr>
      </w:pPr>
      <w:r w:rsidRPr="005B4E6E">
        <w:rPr>
          <w:rFonts w:ascii="Arial" w:hAnsi="Arial" w:cs="Arial"/>
          <w:bCs/>
          <w:color w:val="000000"/>
        </w:rPr>
        <w:t>For rural projects the following criteria will be used for assigning acceptance criteria:</w:t>
      </w:r>
    </w:p>
    <w:p w:rsidR="003B3576" w:rsidRPr="005B4E6E" w:rsidRDefault="003B3576" w:rsidP="001F6635">
      <w:pPr>
        <w:rPr>
          <w:rFonts w:ascii="Arial" w:hAnsi="Arial" w:cs="Arial"/>
          <w:bCs/>
          <w:color w:val="000000"/>
        </w:rPr>
      </w:pP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will be accepted by flexural strength criteria.  </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5,000 or less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will be accepted by compressive strength criteria</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If a rural project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w:t>
      </w:r>
      <w:proofErr w:type="spellStart"/>
      <w:r w:rsidRPr="005B4E6E">
        <w:rPr>
          <w:rFonts w:ascii="Arial" w:hAnsi="Arial" w:cs="Arial"/>
          <w:bCs/>
          <w:color w:val="000000"/>
          <w:sz w:val="20"/>
          <w:szCs w:val="20"/>
        </w:rPr>
        <w:t>PCCP</w:t>
      </w:r>
      <w:proofErr w:type="spellEnd"/>
      <w:r w:rsidRPr="005B4E6E">
        <w:rPr>
          <w:rFonts w:ascii="Arial" w:hAnsi="Arial" w:cs="Arial"/>
          <w:bCs/>
          <w:color w:val="000000"/>
          <w:sz w:val="20"/>
          <w:szCs w:val="20"/>
        </w:rPr>
        <w:t xml:space="preserve"> consists of scattered repairs, or only intersection replacements, compressive strength criteria will be used for acceptance.</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For metro area projects:</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more than 50,000 </w:t>
      </w:r>
      <w:proofErr w:type="spellStart"/>
      <w:r w:rsidRPr="005B4E6E">
        <w:rPr>
          <w:rFonts w:ascii="Arial" w:eastAsia="Calibri" w:hAnsi="Arial" w:cs="Arial"/>
        </w:rPr>
        <w:t>sq.yds</w:t>
      </w:r>
      <w:proofErr w:type="spellEnd"/>
      <w:r w:rsidRPr="005B4E6E">
        <w:rPr>
          <w:rFonts w:ascii="Arial" w:eastAsia="Calibri" w:hAnsi="Arial" w:cs="Arial"/>
        </w:rPr>
        <w:t xml:space="preserve">.  </w:t>
      </w:r>
      <w:proofErr w:type="gramStart"/>
      <w:r w:rsidRPr="005B4E6E">
        <w:rPr>
          <w:rFonts w:ascii="Arial" w:eastAsia="Calibri" w:hAnsi="Arial" w:cs="Arial"/>
        </w:rPr>
        <w:t>will</w:t>
      </w:r>
      <w:proofErr w:type="gramEnd"/>
      <w:r w:rsidRPr="005B4E6E">
        <w:rPr>
          <w:rFonts w:ascii="Arial" w:eastAsia="Calibri" w:hAnsi="Arial" w:cs="Arial"/>
        </w:rPr>
        <w:t xml:space="preserve"> be flexural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 with less than 5,000 </w:t>
      </w:r>
      <w:proofErr w:type="spellStart"/>
      <w:r w:rsidRPr="005B4E6E">
        <w:rPr>
          <w:rFonts w:ascii="Arial" w:eastAsia="Calibri" w:hAnsi="Arial" w:cs="Arial"/>
        </w:rPr>
        <w:t>sq.yds</w:t>
      </w:r>
      <w:proofErr w:type="spellEnd"/>
      <w:r w:rsidRPr="005B4E6E">
        <w:rPr>
          <w:rFonts w:ascii="Arial" w:eastAsia="Calibri" w:hAnsi="Arial" w:cs="Arial"/>
        </w:rPr>
        <w:t>.  will be compressive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5,000 to 50,000 </w:t>
      </w:r>
      <w:proofErr w:type="spellStart"/>
      <w:r w:rsidRPr="005B4E6E">
        <w:rPr>
          <w:rFonts w:ascii="Arial" w:eastAsia="Calibri" w:hAnsi="Arial" w:cs="Arial"/>
        </w:rPr>
        <w:t>sq.yds</w:t>
      </w:r>
      <w:proofErr w:type="spellEnd"/>
      <w:r w:rsidRPr="005B4E6E">
        <w:rPr>
          <w:rFonts w:ascii="Arial" w:eastAsia="Calibri" w:hAnsi="Arial" w:cs="Arial"/>
        </w:rPr>
        <w:t xml:space="preserve"> could be either compressive or flexural.  Consult the RME to determine acceptance method.  Projects projected to have an on-site batch plant are encouraged to use flexural strength acceptance</w:t>
      </w:r>
    </w:p>
    <w:p w:rsidR="003B3576" w:rsidRPr="00F335E3" w:rsidRDefault="003B3576"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eastAsia="Calibri" w:hAnsi="Arial" w:cs="Arial"/>
        </w:rPr>
        <w:br w:type="page"/>
      </w:r>
    </w:p>
    <w:p w:rsidR="00535873" w:rsidRDefault="00535873" w:rsidP="001A224D">
      <w:pPr>
        <w:tabs>
          <w:tab w:val="right" w:pos="8640"/>
        </w:tabs>
        <w:jc w:val="right"/>
        <w:rPr>
          <w:rFonts w:ascii="Arial" w:hAnsi="Arial" w:cs="Arial"/>
        </w:rPr>
      </w:pPr>
      <w:r>
        <w:rPr>
          <w:rFonts w:ascii="Arial" w:hAnsi="Arial" w:cs="Arial"/>
        </w:rPr>
        <w:lastRenderedPageBreak/>
        <w:tab/>
      </w:r>
      <w:r w:rsidR="001A224D" w:rsidRPr="001A224D">
        <w:rPr>
          <w:rFonts w:ascii="Arial" w:hAnsi="Arial" w:cs="Arial"/>
        </w:rPr>
        <w:t>July 3, 2017</w:t>
      </w:r>
      <w:bookmarkStart w:id="0" w:name="_GoBack"/>
      <w:bookmarkEnd w:id="0"/>
    </w:p>
    <w:p w:rsidR="00F81A3C" w:rsidRPr="005B4E6E" w:rsidRDefault="00F81A3C" w:rsidP="00F81A3C">
      <w:pPr>
        <w:tabs>
          <w:tab w:val="right" w:pos="8640"/>
        </w:tabs>
        <w:jc w:val="center"/>
        <w:rPr>
          <w:rFonts w:ascii="Arial" w:hAnsi="Arial" w:cs="Arial"/>
        </w:rPr>
      </w:pPr>
      <w:r w:rsidRPr="005B4E6E">
        <w:rPr>
          <w:rFonts w:ascii="Arial" w:hAnsi="Arial" w:cs="Arial"/>
        </w:rPr>
        <w:t>REVISION OF SECTION</w:t>
      </w:r>
      <w:r>
        <w:rPr>
          <w:rFonts w:ascii="Arial" w:hAnsi="Arial" w:cs="Arial"/>
        </w:rPr>
        <w:t xml:space="preserve"> 105</w:t>
      </w:r>
    </w:p>
    <w:p w:rsidR="00F81A3C" w:rsidRDefault="00F81A3C" w:rsidP="00F81A3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w:t>
      </w:r>
    </w:p>
    <w:p w:rsidR="00F81A3C" w:rsidRDefault="00F81A3C" w:rsidP="00F81A3C">
      <w:pPr>
        <w:jc w:val="center"/>
        <w:rPr>
          <w:rFonts w:ascii="Arial" w:hAnsi="Arial" w:cs="Arial"/>
          <w:bCs/>
          <w:color w:val="000000"/>
        </w:rPr>
      </w:pPr>
      <w:r w:rsidRPr="005B4E6E">
        <w:rPr>
          <w:rFonts w:ascii="Arial" w:hAnsi="Arial" w:cs="Arial"/>
        </w:rPr>
        <w:t>PORTLAND CEMENT CONCRETE PAVEMENT</w:t>
      </w:r>
    </w:p>
    <w:p w:rsidR="00F81A3C" w:rsidRDefault="00F81A3C" w:rsidP="001F6635">
      <w:pPr>
        <w:rPr>
          <w:rFonts w:ascii="Arial" w:hAnsi="Arial" w:cs="Arial"/>
          <w:bCs/>
          <w:color w:val="000000"/>
        </w:rPr>
      </w:pPr>
    </w:p>
    <w:p w:rsidR="003B3576" w:rsidRPr="005B4E6E" w:rsidRDefault="003B3576" w:rsidP="00B21592">
      <w:pPr>
        <w:spacing w:after="160"/>
        <w:rPr>
          <w:rFonts w:ascii="Arial" w:hAnsi="Arial" w:cs="Arial"/>
          <w:bCs/>
          <w:color w:val="000000"/>
        </w:rPr>
      </w:pPr>
      <w:r w:rsidRPr="005B4E6E">
        <w:rPr>
          <w:rFonts w:ascii="Arial" w:hAnsi="Arial" w:cs="Arial"/>
          <w:bCs/>
          <w:color w:val="000000"/>
        </w:rPr>
        <w:t>Section 105</w:t>
      </w:r>
      <w:r w:rsidR="0058443C">
        <w:rPr>
          <w:rFonts w:ascii="Arial" w:hAnsi="Arial" w:cs="Arial"/>
          <w:bCs/>
          <w:color w:val="000000"/>
        </w:rPr>
        <w:t xml:space="preserve"> </w:t>
      </w:r>
      <w:r w:rsidRPr="005B4E6E">
        <w:rPr>
          <w:rFonts w:ascii="Arial" w:hAnsi="Arial" w:cs="Arial"/>
          <w:bCs/>
          <w:color w:val="000000"/>
        </w:rPr>
        <w:t xml:space="preserve">of the Standard Specifications </w:t>
      </w:r>
      <w:r w:rsidR="0058443C">
        <w:rPr>
          <w:rFonts w:ascii="Arial" w:hAnsi="Arial" w:cs="Arial"/>
          <w:bCs/>
          <w:color w:val="000000"/>
        </w:rPr>
        <w:t>is</w:t>
      </w:r>
      <w:r w:rsidRPr="005B4E6E">
        <w:rPr>
          <w:rFonts w:ascii="Arial" w:hAnsi="Arial" w:cs="Arial"/>
          <w:bCs/>
          <w:color w:val="000000"/>
        </w:rPr>
        <w:t xml:space="preserve"> hereby revised for this project as follows:</w:t>
      </w:r>
    </w:p>
    <w:p w:rsidR="003B3576" w:rsidRPr="005B4E6E" w:rsidRDefault="0058443C" w:rsidP="00B21592">
      <w:pPr>
        <w:spacing w:after="160"/>
        <w:rPr>
          <w:rFonts w:ascii="Arial" w:hAnsi="Arial" w:cs="Arial"/>
          <w:bCs/>
          <w:color w:val="000000"/>
        </w:rPr>
      </w:pPr>
      <w:r>
        <w:rPr>
          <w:rFonts w:ascii="Arial" w:hAnsi="Arial" w:cs="Arial"/>
          <w:bCs/>
          <w:color w:val="000000"/>
        </w:rPr>
        <w:t>In</w:t>
      </w:r>
      <w:r w:rsidR="003B3576" w:rsidRPr="005B4E6E">
        <w:rPr>
          <w:rFonts w:ascii="Arial" w:hAnsi="Arial" w:cs="Arial"/>
          <w:bCs/>
          <w:color w:val="000000"/>
        </w:rPr>
        <w:t xml:space="preserve"> subsection 105.06</w:t>
      </w:r>
      <w:r>
        <w:rPr>
          <w:rFonts w:ascii="Arial" w:hAnsi="Arial" w:cs="Arial"/>
          <w:bCs/>
          <w:color w:val="000000"/>
        </w:rPr>
        <w:t xml:space="preserve">(a) delete the third paragraph and replace it </w:t>
      </w:r>
      <w:r w:rsidR="003B3576" w:rsidRPr="005B4E6E">
        <w:rPr>
          <w:rFonts w:ascii="Arial" w:hAnsi="Arial" w:cs="Arial"/>
          <w:bCs/>
          <w:color w:val="000000"/>
        </w:rPr>
        <w:t>with the following:</w:t>
      </w:r>
    </w:p>
    <w:p w:rsidR="005B39EE" w:rsidRPr="00446696" w:rsidRDefault="005B39EE" w:rsidP="00B21592">
      <w:pPr>
        <w:spacing w:after="160" w:line="247" w:lineRule="auto"/>
        <w:rPr>
          <w:rFonts w:ascii="Arial" w:hAnsi="Arial" w:cs="Arial"/>
          <w:color w:val="000000"/>
        </w:rPr>
      </w:pPr>
      <w:r w:rsidRPr="00446696">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process will consist of the test results from a series of random samples.  Test results determined to have sampling or testing errors will not be used.  All materials produced will be assigned to a process.  Changes in mix design, design pavement thickness, or a break of more than 120 working days between placements will create a new process.  The following is provided to clarify changes in processes for each element:</w:t>
      </w:r>
    </w:p>
    <w:p w:rsidR="005B39EE" w:rsidRPr="00446696" w:rsidRDefault="005B39EE" w:rsidP="00B21592">
      <w:pPr>
        <w:pStyle w:val="ListParagraph"/>
        <w:numPr>
          <w:ilvl w:val="0"/>
          <w:numId w:val="34"/>
        </w:numPr>
        <w:spacing w:after="160" w:line="247" w:lineRule="auto"/>
        <w:ind w:left="360"/>
        <w:rPr>
          <w:rFonts w:ascii="Arial" w:hAnsi="Arial" w:cs="Arial"/>
          <w:color w:val="000000"/>
          <w:sz w:val="20"/>
          <w:szCs w:val="20"/>
        </w:rPr>
      </w:pPr>
      <w:r w:rsidRPr="00446696">
        <w:rPr>
          <w:rFonts w:ascii="Arial" w:hAnsi="Arial" w:cs="Arial"/>
          <w:color w:val="000000"/>
          <w:sz w:val="20"/>
          <w:szCs w:val="20"/>
        </w:rPr>
        <w:t>Construction of mainline pavement, including the shoulders if placed with the mainline, is a single process for the compressive or flexural strength element, when the mix design does not change and there is not a break of more than 120 days between placements.</w:t>
      </w:r>
    </w:p>
    <w:p w:rsidR="005B39EE" w:rsidRPr="00446696" w:rsidRDefault="005B39EE" w:rsidP="00B21592">
      <w:pPr>
        <w:pStyle w:val="ListParagraph"/>
        <w:spacing w:after="160" w:line="247" w:lineRule="auto"/>
        <w:ind w:left="360"/>
        <w:rPr>
          <w:rFonts w:ascii="Arial" w:hAnsi="Arial" w:cs="Arial"/>
          <w:color w:val="000000"/>
          <w:sz w:val="20"/>
          <w:szCs w:val="20"/>
        </w:rPr>
      </w:pPr>
    </w:p>
    <w:p w:rsidR="005B39EE" w:rsidRPr="00446696" w:rsidRDefault="005B39EE" w:rsidP="00B21592">
      <w:pPr>
        <w:pStyle w:val="ListParagraph"/>
        <w:numPr>
          <w:ilvl w:val="0"/>
          <w:numId w:val="34"/>
        </w:numPr>
        <w:spacing w:after="160" w:line="247" w:lineRule="auto"/>
        <w:ind w:left="360"/>
        <w:rPr>
          <w:rFonts w:ascii="Arial" w:hAnsi="Arial" w:cs="Arial"/>
          <w:color w:val="000000"/>
          <w:sz w:val="20"/>
          <w:szCs w:val="20"/>
        </w:rPr>
      </w:pPr>
      <w:r w:rsidRPr="00446696">
        <w:rPr>
          <w:rFonts w:ascii="Arial" w:hAnsi="Arial" w:cs="Arial"/>
          <w:color w:val="000000"/>
          <w:sz w:val="20"/>
          <w:szCs w:val="20"/>
        </w:rPr>
        <w:t xml:space="preserve">Construction of mainline pavement, including the shoulders if placed with the mainline, is a single process for the thickness element, when the planned thickness does not change and there is not a break of more than 120 days between placements.  </w:t>
      </w:r>
    </w:p>
    <w:p w:rsidR="005B39EE" w:rsidRPr="00446696" w:rsidRDefault="005B39EE" w:rsidP="00B21592">
      <w:pPr>
        <w:pStyle w:val="ListParagraph"/>
        <w:spacing w:after="160" w:line="247" w:lineRule="auto"/>
        <w:ind w:left="360"/>
        <w:rPr>
          <w:rFonts w:ascii="Arial" w:hAnsi="Arial" w:cs="Arial"/>
          <w:color w:val="000000"/>
          <w:sz w:val="20"/>
          <w:szCs w:val="20"/>
        </w:rPr>
      </w:pPr>
    </w:p>
    <w:p w:rsidR="005B39EE" w:rsidRPr="00446696" w:rsidRDefault="005B39EE" w:rsidP="00B21592">
      <w:pPr>
        <w:pStyle w:val="ListParagraph"/>
        <w:numPr>
          <w:ilvl w:val="0"/>
          <w:numId w:val="34"/>
        </w:numPr>
        <w:spacing w:after="160" w:line="247" w:lineRule="auto"/>
        <w:ind w:left="360"/>
        <w:rPr>
          <w:rFonts w:ascii="Arial" w:hAnsi="Arial" w:cs="Arial"/>
          <w:color w:val="000000"/>
          <w:sz w:val="20"/>
          <w:szCs w:val="20"/>
        </w:rPr>
      </w:pPr>
      <w:r w:rsidRPr="00446696">
        <w:rPr>
          <w:rFonts w:ascii="Arial" w:hAnsi="Arial" w:cs="Arial"/>
          <w:color w:val="000000"/>
          <w:sz w:val="20"/>
          <w:szCs w:val="20"/>
        </w:rPr>
        <w:t>Construction of ramps, acceleration and deceleration lanes and shoulders placed separately are considered separate processes.</w:t>
      </w:r>
    </w:p>
    <w:p w:rsidR="005B39EE" w:rsidRPr="00446696" w:rsidRDefault="005B39EE" w:rsidP="00B21592">
      <w:pPr>
        <w:pStyle w:val="ListParagraph"/>
        <w:spacing w:after="160" w:line="247" w:lineRule="auto"/>
        <w:ind w:left="360"/>
        <w:rPr>
          <w:rFonts w:ascii="Arial" w:hAnsi="Arial" w:cs="Arial"/>
          <w:color w:val="000000"/>
          <w:sz w:val="20"/>
          <w:szCs w:val="20"/>
        </w:rPr>
      </w:pPr>
    </w:p>
    <w:p w:rsidR="005B39EE" w:rsidRPr="00446696" w:rsidRDefault="005B39EE" w:rsidP="00B21592">
      <w:pPr>
        <w:pStyle w:val="ListParagraph"/>
        <w:numPr>
          <w:ilvl w:val="0"/>
          <w:numId w:val="34"/>
        </w:numPr>
        <w:spacing w:after="160" w:line="247" w:lineRule="auto"/>
        <w:ind w:left="360"/>
        <w:rPr>
          <w:rFonts w:ascii="Arial" w:hAnsi="Arial" w:cs="Arial"/>
          <w:color w:val="000000"/>
          <w:sz w:val="20"/>
          <w:szCs w:val="20"/>
        </w:rPr>
      </w:pPr>
      <w:r w:rsidRPr="00446696">
        <w:rPr>
          <w:rFonts w:ascii="Arial" w:hAnsi="Arial" w:cs="Arial"/>
          <w:color w:val="000000"/>
          <w:sz w:val="20"/>
          <w:szCs w:val="20"/>
        </w:rPr>
        <w:t>Changes in paving equipment, changes in placement method, changes in hauling equipment, adjustments to mix designs that do not require a new mix design, changes in weather conditions, and changes in production rate shall not create a new process in the strength or thickness elements</w:t>
      </w:r>
      <w:r w:rsidRPr="0059763C">
        <w:rPr>
          <w:rFonts w:ascii="Arial" w:hAnsi="Arial" w:cs="Arial"/>
          <w:color w:val="000000"/>
          <w:sz w:val="20"/>
          <w:szCs w:val="20"/>
        </w:rPr>
        <w:t>.</w:t>
      </w:r>
      <w:r w:rsidRPr="00446696">
        <w:rPr>
          <w:rFonts w:ascii="Arial" w:hAnsi="Arial" w:cs="Arial"/>
          <w:color w:val="000000"/>
          <w:sz w:val="20"/>
          <w:szCs w:val="20"/>
        </w:rPr>
        <w:t xml:space="preserve">  </w:t>
      </w:r>
    </w:p>
    <w:p w:rsidR="005B39EE" w:rsidRPr="00C8459C" w:rsidRDefault="005B39EE" w:rsidP="00B21592">
      <w:pPr>
        <w:spacing w:after="160" w:line="247" w:lineRule="auto"/>
        <w:rPr>
          <w:rFonts w:ascii="Arial" w:eastAsia="TimesNewRomanPS" w:hAnsi="Arial" w:cs="Arial"/>
        </w:rPr>
      </w:pPr>
      <w:r w:rsidRPr="00446696">
        <w:rPr>
          <w:rFonts w:ascii="Arial" w:hAnsi="Arial" w:cs="Arial"/>
          <w:color w:val="000000"/>
        </w:rPr>
        <w:t xml:space="preserve">The Contractor and Engineer will determine element processes and what distinguishes them as processes during the pre-pave meetings prior to any concrete placement. </w:t>
      </w:r>
      <w:r>
        <w:rPr>
          <w:sz w:val="22"/>
        </w:rPr>
        <w:tab/>
      </w:r>
    </w:p>
    <w:p w:rsidR="00C93280" w:rsidRDefault="008E6E23" w:rsidP="00B21592">
      <w:pPr>
        <w:tabs>
          <w:tab w:val="right" w:pos="8640"/>
        </w:tabs>
        <w:spacing w:after="160"/>
      </w:pPr>
      <w:r>
        <w:rPr>
          <w:sz w:val="22"/>
        </w:rPr>
        <w:tab/>
      </w: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D8" w:rsidRDefault="004A2ED8" w:rsidP="00F878BD">
      <w:r>
        <w:separator/>
      </w:r>
    </w:p>
  </w:endnote>
  <w:endnote w:type="continuationSeparator" w:id="0">
    <w:p w:rsidR="004A2ED8" w:rsidRDefault="004A2ED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D8" w:rsidRDefault="004A2ED8" w:rsidP="00F878BD">
      <w:r>
        <w:separator/>
      </w:r>
    </w:p>
  </w:footnote>
  <w:footnote w:type="continuationSeparator" w:id="0">
    <w:p w:rsidR="004A2ED8" w:rsidRDefault="004A2ED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8A0971"/>
    <w:multiLevelType w:val="hybridMultilevel"/>
    <w:tmpl w:val="6314773C"/>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1" w15:restartNumberingAfterBreak="0">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833493C"/>
    <w:multiLevelType w:val="multilevel"/>
    <w:tmpl w:val="F6C8139E"/>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decimal"/>
      <w:lvlText w:val="%3."/>
      <w:lvlJc w:val="lef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67"/>
    <w:multiLevelType w:val="hybridMultilevel"/>
    <w:tmpl w:val="92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1"/>
  </w:num>
  <w:num w:numId="3">
    <w:abstractNumId w:val="27"/>
  </w:num>
  <w:num w:numId="4">
    <w:abstractNumId w:val="2"/>
  </w:num>
  <w:num w:numId="5">
    <w:abstractNumId w:val="23"/>
  </w:num>
  <w:num w:numId="6">
    <w:abstractNumId w:val="26"/>
  </w:num>
  <w:num w:numId="7">
    <w:abstractNumId w:val="13"/>
  </w:num>
  <w:num w:numId="8">
    <w:abstractNumId w:val="24"/>
  </w:num>
  <w:num w:numId="9">
    <w:abstractNumId w:val="0"/>
  </w:num>
  <w:num w:numId="10">
    <w:abstractNumId w:val="7"/>
  </w:num>
  <w:num w:numId="11">
    <w:abstractNumId w:val="17"/>
  </w:num>
  <w:num w:numId="12">
    <w:abstractNumId w:val="5"/>
  </w:num>
  <w:num w:numId="13">
    <w:abstractNumId w:val="19"/>
  </w:num>
  <w:num w:numId="14">
    <w:abstractNumId w:val="15"/>
  </w:num>
  <w:num w:numId="15">
    <w:abstractNumId w:val="22"/>
  </w:num>
  <w:num w:numId="16">
    <w:abstractNumId w:val="30"/>
  </w:num>
  <w:num w:numId="17">
    <w:abstractNumId w:val="32"/>
  </w:num>
  <w:num w:numId="18">
    <w:abstractNumId w:val="4"/>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2"/>
  </w:num>
  <w:num w:numId="23">
    <w:abstractNumId w:val="14"/>
  </w:num>
  <w:num w:numId="24">
    <w:abstractNumId w:val="3"/>
  </w:num>
  <w:num w:numId="25">
    <w:abstractNumId w:val="10"/>
  </w:num>
  <w:num w:numId="26">
    <w:abstractNumId w:val="8"/>
  </w:num>
  <w:num w:numId="27">
    <w:abstractNumId w:val="6"/>
  </w:num>
  <w:num w:numId="28">
    <w:abstractNumId w:val="11"/>
  </w:num>
  <w:num w:numId="29">
    <w:abstractNumId w:val="31"/>
  </w:num>
  <w:num w:numId="30">
    <w:abstractNumId w:val="25"/>
  </w:num>
  <w:num w:numId="31">
    <w:abstractNumId w:val="28"/>
  </w:num>
  <w:num w:numId="32">
    <w:abstractNumId w:val="3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CFB"/>
    <w:rsid w:val="000225FA"/>
    <w:rsid w:val="00085D20"/>
    <w:rsid w:val="000A5DE1"/>
    <w:rsid w:val="000C3C6B"/>
    <w:rsid w:val="000E3C78"/>
    <w:rsid w:val="0010474A"/>
    <w:rsid w:val="0010525A"/>
    <w:rsid w:val="001A224D"/>
    <w:rsid w:val="001A7BED"/>
    <w:rsid w:val="001C3F85"/>
    <w:rsid w:val="00214CEC"/>
    <w:rsid w:val="00217F21"/>
    <w:rsid w:val="00222B35"/>
    <w:rsid w:val="00230276"/>
    <w:rsid w:val="00234B03"/>
    <w:rsid w:val="00240F9D"/>
    <w:rsid w:val="002714AF"/>
    <w:rsid w:val="00272482"/>
    <w:rsid w:val="002A4EDD"/>
    <w:rsid w:val="002F34D3"/>
    <w:rsid w:val="003162A2"/>
    <w:rsid w:val="003823FC"/>
    <w:rsid w:val="00394329"/>
    <w:rsid w:val="003B3576"/>
    <w:rsid w:val="003C3F1C"/>
    <w:rsid w:val="004249F3"/>
    <w:rsid w:val="00441D2F"/>
    <w:rsid w:val="004A2ED8"/>
    <w:rsid w:val="004B09DE"/>
    <w:rsid w:val="004F1849"/>
    <w:rsid w:val="00535873"/>
    <w:rsid w:val="005362B8"/>
    <w:rsid w:val="0056039E"/>
    <w:rsid w:val="00572D1D"/>
    <w:rsid w:val="00576607"/>
    <w:rsid w:val="0058443C"/>
    <w:rsid w:val="0059763C"/>
    <w:rsid w:val="005B39EE"/>
    <w:rsid w:val="005E4C0E"/>
    <w:rsid w:val="005F7B1A"/>
    <w:rsid w:val="0060354A"/>
    <w:rsid w:val="00666B94"/>
    <w:rsid w:val="006B1A52"/>
    <w:rsid w:val="006C664C"/>
    <w:rsid w:val="0070029E"/>
    <w:rsid w:val="00706DF8"/>
    <w:rsid w:val="0071231C"/>
    <w:rsid w:val="00726A77"/>
    <w:rsid w:val="007735BF"/>
    <w:rsid w:val="007854AB"/>
    <w:rsid w:val="007D24E5"/>
    <w:rsid w:val="00814549"/>
    <w:rsid w:val="008442A8"/>
    <w:rsid w:val="00870736"/>
    <w:rsid w:val="00891B09"/>
    <w:rsid w:val="008B3BFC"/>
    <w:rsid w:val="008C59FF"/>
    <w:rsid w:val="008D4DE9"/>
    <w:rsid w:val="008E6E23"/>
    <w:rsid w:val="00923AF8"/>
    <w:rsid w:val="00935ABF"/>
    <w:rsid w:val="00973DFA"/>
    <w:rsid w:val="00987248"/>
    <w:rsid w:val="009A40E9"/>
    <w:rsid w:val="009B3EF3"/>
    <w:rsid w:val="009B43F2"/>
    <w:rsid w:val="009F3FE4"/>
    <w:rsid w:val="00A14275"/>
    <w:rsid w:val="00A27DE7"/>
    <w:rsid w:val="00A54F34"/>
    <w:rsid w:val="00A7142E"/>
    <w:rsid w:val="00A73269"/>
    <w:rsid w:val="00A76618"/>
    <w:rsid w:val="00A92397"/>
    <w:rsid w:val="00AA36CC"/>
    <w:rsid w:val="00AB028C"/>
    <w:rsid w:val="00AB2122"/>
    <w:rsid w:val="00AB5B65"/>
    <w:rsid w:val="00AC7AF4"/>
    <w:rsid w:val="00B03922"/>
    <w:rsid w:val="00B21592"/>
    <w:rsid w:val="00B21A43"/>
    <w:rsid w:val="00B25927"/>
    <w:rsid w:val="00B67C65"/>
    <w:rsid w:val="00B91FF1"/>
    <w:rsid w:val="00BB6781"/>
    <w:rsid w:val="00C054A8"/>
    <w:rsid w:val="00C40133"/>
    <w:rsid w:val="00C41CBB"/>
    <w:rsid w:val="00C93280"/>
    <w:rsid w:val="00CC309C"/>
    <w:rsid w:val="00D16104"/>
    <w:rsid w:val="00DE3420"/>
    <w:rsid w:val="00DE7DCD"/>
    <w:rsid w:val="00E01AF0"/>
    <w:rsid w:val="00E208F0"/>
    <w:rsid w:val="00E564E8"/>
    <w:rsid w:val="00E5788C"/>
    <w:rsid w:val="00E647BB"/>
    <w:rsid w:val="00E85CC9"/>
    <w:rsid w:val="00EA5566"/>
    <w:rsid w:val="00EA7A41"/>
    <w:rsid w:val="00EC2A21"/>
    <w:rsid w:val="00EF1243"/>
    <w:rsid w:val="00F07B65"/>
    <w:rsid w:val="00F335E3"/>
    <w:rsid w:val="00F605A4"/>
    <w:rsid w:val="00F81A3C"/>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paragraph" w:styleId="Footer">
    <w:name w:val="footer"/>
    <w:basedOn w:val="Normal"/>
    <w:link w:val="FooterChar"/>
    <w:rsid w:val="003B3576"/>
    <w:pPr>
      <w:tabs>
        <w:tab w:val="center" w:pos="4680"/>
        <w:tab w:val="right" w:pos="9360"/>
      </w:tabs>
    </w:pPr>
  </w:style>
  <w:style w:type="character" w:customStyle="1" w:styleId="FooterChar">
    <w:name w:val="Footer Char"/>
    <w:basedOn w:val="DefaultParagraphFont"/>
    <w:link w:val="Footer"/>
    <w:rsid w:val="003B3576"/>
  </w:style>
  <w:style w:type="paragraph" w:customStyle="1" w:styleId="xl25">
    <w:name w:val="xl25"/>
    <w:basedOn w:val="Normal"/>
    <w:rsid w:val="003B3576"/>
    <w:pPr>
      <w:pBdr>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3B3576"/>
    <w:pPr>
      <w:pBdr>
        <w:left w:val="single" w:sz="4" w:space="0" w:color="auto"/>
        <w:right w:val="single" w:sz="4" w:space="0" w:color="auto"/>
      </w:pBdr>
      <w:spacing w:before="100" w:beforeAutospacing="1" w:after="100" w:afterAutospacing="1"/>
    </w:pPr>
    <w:rPr>
      <w:sz w:val="24"/>
      <w:szCs w:val="24"/>
    </w:rPr>
  </w:style>
  <w:style w:type="character" w:styleId="Emphasis">
    <w:name w:val="Emphasis"/>
    <w:qFormat/>
    <w:rsid w:val="003B3576"/>
    <w:rPr>
      <w:i/>
      <w:iCs/>
    </w:rPr>
  </w:style>
  <w:style w:type="character" w:customStyle="1" w:styleId="HeaderChar">
    <w:name w:val="Header Char"/>
    <w:link w:val="Header"/>
    <w:uiPriority w:val="99"/>
    <w:rsid w:val="003B3576"/>
    <w:rPr>
      <w:rFonts w:ascii="Monospac821 BT" w:hAnsi="Monospac821 BT" w:cs="Monospac821 BT"/>
      <w:sz w:val="24"/>
      <w:szCs w:val="24"/>
    </w:rPr>
  </w:style>
  <w:style w:type="paragraph" w:customStyle="1" w:styleId="Pa5">
    <w:name w:val="Pa5"/>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styleId="Revision">
    <w:name w:val="Revision"/>
    <w:hidden/>
    <w:uiPriority w:val="99"/>
    <w:semiHidden/>
    <w:rsid w:val="003B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6</cp:revision>
  <cp:lastPrinted>2000-06-16T18:28:00Z</cp:lastPrinted>
  <dcterms:created xsi:type="dcterms:W3CDTF">2017-03-28T16:07:00Z</dcterms:created>
  <dcterms:modified xsi:type="dcterms:W3CDTF">2017-06-27T22:35:00Z</dcterms:modified>
</cp:coreProperties>
</file>