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5F3F19C8" w:rsidR="00522B1D" w:rsidRDefault="00D61BEB" w:rsidP="00D10630">
      <w:pPr>
        <w:pStyle w:val="body"/>
        <w:rPr>
          <w:noProof w:val="0"/>
        </w:rPr>
      </w:pPr>
      <w:r>
        <w:drawing>
          <wp:anchor distT="0" distB="0" distL="114300" distR="114300" simplePos="0" relativeHeight="251658240" behindDoc="0" locked="0" layoutInCell="1" allowOverlap="1" wp14:anchorId="130C5D3E" wp14:editId="4CF79CA8">
            <wp:simplePos x="0" y="0"/>
            <wp:positionH relativeFrom="column">
              <wp:posOffset>-17061</wp:posOffset>
            </wp:positionH>
            <wp:positionV relativeFrom="paragraph">
              <wp:posOffset>-242270</wp:posOffset>
            </wp:positionV>
            <wp:extent cx="2393830" cy="697919"/>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393830" cy="697919"/>
                    </a:xfrm>
                    <a:prstGeom prst="rect">
                      <a:avLst/>
                    </a:prstGeom>
                  </pic:spPr>
                </pic:pic>
              </a:graphicData>
            </a:graphic>
            <wp14:sizeRelH relativeFrom="margin">
              <wp14:pctWidth>0</wp14:pctWidth>
            </wp14:sizeRelH>
            <wp14:sizeRelV relativeFrom="margin">
              <wp14:pctHeight>0</wp14:pctHeight>
            </wp14:sizeRelV>
          </wp:anchor>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8DE46E9"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6879F0">
        <w:rPr>
          <w:rFonts w:ascii="Trebuchet MS" w:hAnsi="Trebuchet MS" w:cs="Arial"/>
        </w:rPr>
        <w:t>3</w:t>
      </w:r>
      <w:r w:rsidR="004C138D">
        <w:rPr>
          <w:rFonts w:ascii="Trebuchet MS" w:hAnsi="Trebuchet MS" w:cs="Arial"/>
        </w:rPr>
        <w:t>, 20</w:t>
      </w:r>
      <w:r w:rsidR="006879F0">
        <w:rPr>
          <w:rFonts w:ascii="Trebuchet MS" w:hAnsi="Trebuchet MS" w:cs="Arial"/>
        </w:rPr>
        <w:t>20</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7A88BBCD"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2020</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6879F0">
        <w:rPr>
          <w:rFonts w:ascii="Trebuchet MS" w:hAnsi="Trebuchet MS" w:cs="Arial"/>
          <w:b/>
        </w:rPr>
        <w:t>3</w:t>
      </w:r>
      <w:r w:rsidRPr="00D0123B">
        <w:rPr>
          <w:rFonts w:ascii="Trebuchet MS" w:hAnsi="Trebuchet MS" w:cs="Arial"/>
          <w:b/>
        </w:rPr>
        <w:t>, 20</w:t>
      </w:r>
      <w:r w:rsidR="006879F0">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6879F0">
        <w:rPr>
          <w:rFonts w:ascii="Trebuchet MS" w:hAnsi="Trebuchet MS" w:cs="Arial"/>
          <w:b/>
        </w:rPr>
        <w:t>3</w:t>
      </w:r>
      <w:r w:rsidR="003838D9" w:rsidRPr="003838D9">
        <w:rPr>
          <w:rFonts w:ascii="Trebuchet MS" w:hAnsi="Trebuchet MS" w:cs="Arial"/>
          <w:b/>
        </w:rPr>
        <w:t>, 20</w:t>
      </w:r>
      <w:r w:rsidR="006879F0">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A1D4C5B"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did not change any wages or fringe benefits for any job classification</w:t>
      </w:r>
      <w:r w:rsidR="006879F0">
        <w:rPr>
          <w:rFonts w:ascii="Trebuchet MS" w:hAnsi="Trebuchet MS" w:cs="Arial"/>
        </w:rPr>
        <w:t>s</w:t>
      </w:r>
      <w:r w:rsidRPr="004E2706">
        <w:rPr>
          <w:rFonts w:ascii="Trebuchet MS" w:hAnsi="Trebuchet MS" w:cs="Arial"/>
        </w:rPr>
        <w:t xml:space="preserve">.  It just changed the General Decision Number from </w:t>
      </w:r>
      <w:proofErr w:type="spellStart"/>
      <w:r>
        <w:rPr>
          <w:rFonts w:ascii="Trebuchet MS" w:hAnsi="Trebuchet MS" w:cs="Arial"/>
        </w:rPr>
        <w:t>CO1</w:t>
      </w:r>
      <w:r w:rsidR="006879F0">
        <w:rPr>
          <w:rFonts w:ascii="Trebuchet MS" w:hAnsi="Trebuchet MS" w:cs="Arial"/>
        </w:rPr>
        <w:t>9</w:t>
      </w:r>
      <w:r>
        <w:rPr>
          <w:rFonts w:ascii="Trebuchet MS" w:hAnsi="Trebuchet MS" w:cs="Arial"/>
        </w:rPr>
        <w:t>00</w:t>
      </w:r>
      <w:r w:rsidR="006879F0">
        <w:rPr>
          <w:rFonts w:ascii="Trebuchet MS" w:hAnsi="Trebuchet MS" w:cs="Arial"/>
        </w:rPr>
        <w:t>0</w:t>
      </w:r>
      <w:r>
        <w:rPr>
          <w:rFonts w:ascii="Trebuchet MS" w:hAnsi="Trebuchet MS" w:cs="Arial"/>
        </w:rPr>
        <w:t>6</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2020</w:t>
      </w:r>
      <w:r w:rsidR="00522B1D">
        <w:rPr>
          <w:rFonts w:ascii="Trebuchet MS" w:hAnsi="Trebuchet MS" w:cs="Arial"/>
        </w:rPr>
        <w:t>0006</w:t>
      </w:r>
      <w:proofErr w:type="spellEnd"/>
      <w:r>
        <w:rPr>
          <w:rFonts w:ascii="Trebuchet MS" w:hAnsi="Trebuchet MS" w:cs="Arial"/>
        </w:rPr>
        <w:t>.</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9C93" w14:textId="77777777" w:rsidR="00B6140C" w:rsidRDefault="00B6140C" w:rsidP="00370CDA">
      <w:r>
        <w:separator/>
      </w:r>
    </w:p>
  </w:endnote>
  <w:endnote w:type="continuationSeparator" w:id="0">
    <w:p w14:paraId="020C3638" w14:textId="77777777" w:rsidR="00B6140C" w:rsidRDefault="00B6140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2270" w14:textId="77777777" w:rsidR="00B6140C" w:rsidRDefault="00B6140C" w:rsidP="00370CDA">
      <w:r>
        <w:separator/>
      </w:r>
    </w:p>
  </w:footnote>
  <w:footnote w:type="continuationSeparator" w:id="0">
    <w:p w14:paraId="4009321F" w14:textId="77777777" w:rsidR="00B6140C" w:rsidRDefault="00B6140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7750"/>
    <w:rsid w:val="00766707"/>
    <w:rsid w:val="007918A9"/>
    <w:rsid w:val="007964BC"/>
    <w:rsid w:val="007A4FB9"/>
    <w:rsid w:val="007C30B7"/>
    <w:rsid w:val="007D1A5D"/>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2018-01-05T19:46:00Z</cp:lastPrinted>
  <dcterms:created xsi:type="dcterms:W3CDTF">2014-05-08T21:55:00Z</dcterms:created>
  <dcterms:modified xsi:type="dcterms:W3CDTF">2020-01-03T19:57:00Z</dcterms:modified>
</cp:coreProperties>
</file>