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BE6593" w:rsidRPr="00504AD5" w:rsidRDefault="00BE6593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3B6FFF">
        <w:rPr>
          <w:rFonts w:eastAsia="Times New Roman"/>
          <w:color w:val="222222"/>
          <w:szCs w:val="24"/>
        </w:rPr>
        <w:t xml:space="preserve"> </w:t>
      </w:r>
      <w:r w:rsidR="000326C7">
        <w:rPr>
          <w:rFonts w:eastAsia="Times New Roman"/>
          <w:color w:val="222222"/>
          <w:szCs w:val="24"/>
        </w:rPr>
        <w:t xml:space="preserve">January </w:t>
      </w:r>
      <w:r w:rsidR="005917CD">
        <w:rPr>
          <w:rFonts w:eastAsia="Times New Roman"/>
          <w:color w:val="222222"/>
          <w:szCs w:val="24"/>
        </w:rPr>
        <w:t>27</w:t>
      </w:r>
      <w:r w:rsidR="000326C7">
        <w:rPr>
          <w:rFonts w:eastAsia="Times New Roman"/>
          <w:color w:val="222222"/>
          <w:szCs w:val="24"/>
        </w:rPr>
        <w:t>, 2020</w:t>
      </w: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 xml:space="preserve">        </w:t>
      </w:r>
      <w:r w:rsidR="003B6FFF">
        <w:rPr>
          <w:rFonts w:eastAsia="Times New Roman"/>
          <w:color w:val="222222"/>
          <w:szCs w:val="24"/>
        </w:rPr>
        <w:t xml:space="preserve"> </w:t>
      </w:r>
      <w:r w:rsidRPr="00504AD5">
        <w:rPr>
          <w:rFonts w:eastAsia="Times New Roman"/>
          <w:color w:val="222222"/>
          <w:szCs w:val="24"/>
        </w:rPr>
        <w:t>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5917CD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5917CD">
        <w:rPr>
          <w:rFonts w:eastAsia="Times New Roman"/>
          <w:color w:val="222222"/>
          <w:szCs w:val="24"/>
        </w:rPr>
        <w:t>109</w:t>
      </w:r>
      <w:r w:rsidR="000206E6">
        <w:rPr>
          <w:rFonts w:eastAsia="Times New Roman"/>
          <w:color w:val="222222"/>
          <w:szCs w:val="24"/>
        </w:rPr>
        <w:t xml:space="preserve"> </w:t>
      </w:r>
      <w:r w:rsidR="005917CD">
        <w:rPr>
          <w:rFonts w:eastAsia="Times New Roman"/>
          <w:color w:val="222222"/>
          <w:szCs w:val="24"/>
        </w:rPr>
        <w:t xml:space="preserve">- </w:t>
      </w:r>
      <w:r w:rsidR="005917CD" w:rsidRPr="005917CD">
        <w:rPr>
          <w:rFonts w:eastAsia="Times New Roman"/>
          <w:color w:val="222222"/>
          <w:szCs w:val="24"/>
        </w:rPr>
        <w:t>Asphalt Cement Cost Adjustment (Asphalt Cement</w:t>
      </w:r>
    </w:p>
    <w:p w:rsidR="007C332A" w:rsidRDefault="005917CD" w:rsidP="005917CD">
      <w:pPr>
        <w:shd w:val="clear" w:color="auto" w:fill="FFFFFF"/>
        <w:spacing w:before="0" w:after="0"/>
        <w:ind w:left="1440"/>
        <w:textAlignment w:val="baseline"/>
        <w:rPr>
          <w:rFonts w:eastAsia="Times New Roman"/>
          <w:color w:val="222222"/>
          <w:szCs w:val="24"/>
        </w:rPr>
      </w:pPr>
      <w:r w:rsidRPr="005917CD">
        <w:rPr>
          <w:rFonts w:eastAsia="Times New Roman"/>
          <w:color w:val="222222"/>
          <w:szCs w:val="24"/>
        </w:rPr>
        <w:t>Paid Separately)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1D33E2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 w:rsidR="00747625">
        <w:rPr>
          <w:rFonts w:eastAsia="Times New Roman"/>
          <w:color w:val="222222"/>
          <w:szCs w:val="24"/>
        </w:rPr>
        <w:t>a</w:t>
      </w:r>
      <w:r>
        <w:rPr>
          <w:rFonts w:eastAsia="Times New Roman"/>
          <w:color w:val="222222"/>
          <w:szCs w:val="24"/>
        </w:rPr>
        <w:t xml:space="preserve">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1D33E2" w:rsidRPr="001D33E2">
        <w:rPr>
          <w:rFonts w:eastAsia="Times New Roman"/>
          <w:i/>
          <w:color w:val="222222"/>
          <w:szCs w:val="24"/>
        </w:rPr>
        <w:t xml:space="preserve">Revision of Section 109 - Asphalt Cement Cost Adjustment </w:t>
      </w:r>
      <w:r w:rsidR="001D33E2">
        <w:rPr>
          <w:rFonts w:eastAsia="Times New Roman"/>
          <w:i/>
          <w:color w:val="222222"/>
          <w:szCs w:val="24"/>
        </w:rPr>
        <w:t>(</w:t>
      </w:r>
      <w:r w:rsidR="001D33E2" w:rsidRPr="001D33E2">
        <w:rPr>
          <w:rFonts w:eastAsia="Times New Roman"/>
          <w:i/>
          <w:color w:val="222222"/>
          <w:szCs w:val="24"/>
        </w:rPr>
        <w:t xml:space="preserve">Asphalt Cement </w:t>
      </w:r>
      <w:r w:rsidR="006E7E8E">
        <w:rPr>
          <w:rFonts w:eastAsia="Times New Roman"/>
          <w:i/>
          <w:color w:val="222222"/>
          <w:szCs w:val="24"/>
        </w:rPr>
        <w:t>Paid Separately</w:t>
      </w:r>
      <w:r w:rsidR="001D33E2" w:rsidRPr="001D33E2">
        <w:rPr>
          <w:rFonts w:eastAsia="Times New Roman"/>
          <w:i/>
          <w:color w:val="222222"/>
          <w:szCs w:val="24"/>
        </w:rPr>
        <w:t>)</w:t>
      </w:r>
      <w:r w:rsidR="001D33E2">
        <w:rPr>
          <w:rFonts w:eastAsia="Times New Roman"/>
          <w:color w:val="222222"/>
          <w:szCs w:val="24"/>
        </w:rPr>
        <w:t xml:space="preserve">, which is </w:t>
      </w:r>
      <w:r w:rsidR="006E7E8E">
        <w:rPr>
          <w:rFonts w:eastAsia="Times New Roman"/>
          <w:color w:val="222222"/>
          <w:szCs w:val="24"/>
        </w:rPr>
        <w:t>2</w:t>
      </w:r>
      <w:r w:rsidR="001D33E2">
        <w:rPr>
          <w:rFonts w:eastAsia="Times New Roman"/>
          <w:color w:val="222222"/>
          <w:szCs w:val="24"/>
        </w:rPr>
        <w:t xml:space="preserve"> pages long</w:t>
      </w:r>
      <w:r w:rsidR="00747625">
        <w:rPr>
          <w:rFonts w:eastAsia="Times New Roman"/>
          <w:color w:val="222222"/>
          <w:szCs w:val="24"/>
        </w:rPr>
        <w:t>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9F5FF9" w:rsidRDefault="00747625" w:rsidP="00747625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Please use t</w:t>
      </w:r>
      <w:r w:rsidR="000206E6" w:rsidRPr="000206E6">
        <w:rPr>
          <w:rFonts w:eastAsia="Times New Roman"/>
          <w:color w:val="222222"/>
          <w:szCs w:val="24"/>
        </w:rPr>
        <w:t xml:space="preserve">his standard special provision </w:t>
      </w:r>
      <w:r w:rsidRPr="00747625">
        <w:rPr>
          <w:rFonts w:eastAsia="Times New Roman"/>
          <w:color w:val="222222"/>
          <w:szCs w:val="24"/>
        </w:rPr>
        <w:t xml:space="preserve">in all </w:t>
      </w:r>
      <w:r>
        <w:rPr>
          <w:rFonts w:eastAsia="Times New Roman"/>
          <w:color w:val="222222"/>
          <w:szCs w:val="24"/>
        </w:rPr>
        <w:t>p</w:t>
      </w:r>
      <w:r w:rsidR="00BF22EF">
        <w:rPr>
          <w:rFonts w:eastAsia="Times New Roman"/>
          <w:color w:val="222222"/>
          <w:szCs w:val="24"/>
        </w:rPr>
        <w:t>rojects having pay item 411</w:t>
      </w:r>
      <w:r w:rsidRPr="00747625">
        <w:rPr>
          <w:rFonts w:eastAsia="Times New Roman"/>
          <w:color w:val="222222"/>
          <w:szCs w:val="24"/>
        </w:rPr>
        <w:t xml:space="preserve"> Asphalt</w:t>
      </w:r>
      <w:r w:rsidR="00BF22EF">
        <w:rPr>
          <w:rFonts w:eastAsia="Times New Roman"/>
          <w:color w:val="222222"/>
          <w:szCs w:val="24"/>
        </w:rPr>
        <w:t xml:space="preserve"> Cement.  </w:t>
      </w:r>
      <w:r w:rsidRPr="00747625">
        <w:rPr>
          <w:rFonts w:eastAsia="Times New Roman"/>
          <w:color w:val="222222"/>
          <w:szCs w:val="24"/>
        </w:rPr>
        <w:t>This specification requires a Force Account item.</w:t>
      </w:r>
    </w:p>
    <w:p w:rsidR="009F5FF9" w:rsidRDefault="009F5FF9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Pr="000C53E3" w:rsidRDefault="004A5521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4A5521">
        <w:rPr>
          <w:rFonts w:eastAsia="Times New Roman"/>
          <w:color w:val="222222"/>
          <w:szCs w:val="24"/>
        </w:rPr>
        <w:t xml:space="preserve">This revision was needed to allow the contractor to opt in or opt out of the Asphalt Cement Cost Adjustment Specification, as well as changing </w:t>
      </w:r>
      <w:r w:rsidR="00FE5B28">
        <w:rPr>
          <w:rFonts w:eastAsia="Times New Roman"/>
          <w:color w:val="222222"/>
          <w:szCs w:val="24"/>
        </w:rPr>
        <w:t xml:space="preserve">the </w:t>
      </w:r>
      <w:r w:rsidRPr="004A5521">
        <w:rPr>
          <w:rFonts w:eastAsia="Times New Roman"/>
          <w:color w:val="222222"/>
          <w:szCs w:val="24"/>
        </w:rPr>
        <w:t>Asphalt Specific Index</w:t>
      </w:r>
      <w:r w:rsidR="00FE5B28">
        <w:rPr>
          <w:rFonts w:eastAsia="Times New Roman"/>
          <w:color w:val="222222"/>
          <w:szCs w:val="24"/>
        </w:rPr>
        <w:t xml:space="preserve"> to the </w:t>
      </w:r>
      <w:proofErr w:type="spellStart"/>
      <w:r w:rsidRPr="004A5521">
        <w:rPr>
          <w:rFonts w:eastAsia="Times New Roman"/>
          <w:color w:val="222222"/>
          <w:szCs w:val="24"/>
        </w:rPr>
        <w:t>Poten</w:t>
      </w:r>
      <w:proofErr w:type="spellEnd"/>
      <w:r w:rsidRPr="004A5521">
        <w:rPr>
          <w:rFonts w:eastAsia="Times New Roman"/>
          <w:color w:val="222222"/>
          <w:szCs w:val="24"/>
        </w:rPr>
        <w:t xml:space="preserve"> &amp; Partners Asphalt and Argus Americas Asphalt </w:t>
      </w:r>
      <w:r w:rsidR="00FE5B28">
        <w:rPr>
          <w:rFonts w:eastAsia="Times New Roman"/>
          <w:color w:val="222222"/>
          <w:szCs w:val="24"/>
        </w:rPr>
        <w:t>weekly r</w:t>
      </w:r>
      <w:r w:rsidRPr="004A5521">
        <w:rPr>
          <w:rFonts w:eastAsia="Times New Roman"/>
          <w:color w:val="222222"/>
          <w:szCs w:val="24"/>
        </w:rPr>
        <w:t>eport</w:t>
      </w:r>
      <w:r w:rsidR="00FE5B28">
        <w:rPr>
          <w:rFonts w:eastAsia="Times New Roman"/>
          <w:color w:val="222222"/>
          <w:szCs w:val="24"/>
        </w:rPr>
        <w:t xml:space="preserve">s.  </w:t>
      </w:r>
      <w:r w:rsidRPr="004A5521">
        <w:rPr>
          <w:rFonts w:eastAsia="Times New Roman"/>
          <w:color w:val="222222"/>
          <w:szCs w:val="24"/>
        </w:rPr>
        <w:t xml:space="preserve">This </w:t>
      </w:r>
      <w:r w:rsidR="00FE5B28">
        <w:rPr>
          <w:rFonts w:eastAsia="Times New Roman"/>
          <w:color w:val="222222"/>
          <w:szCs w:val="24"/>
        </w:rPr>
        <w:t xml:space="preserve">tracks </w:t>
      </w:r>
      <w:r w:rsidRPr="004A5521">
        <w:rPr>
          <w:rFonts w:eastAsia="Times New Roman"/>
          <w:color w:val="222222"/>
          <w:szCs w:val="24"/>
        </w:rPr>
        <w:t>more accurately the regional asphalt prices</w:t>
      </w:r>
      <w:r w:rsidR="00FE5B28" w:rsidRPr="00FE5B28">
        <w:t xml:space="preserve"> </w:t>
      </w:r>
      <w:r w:rsidR="00FE5B28" w:rsidRPr="00FE5B28">
        <w:rPr>
          <w:rFonts w:eastAsia="Times New Roman"/>
          <w:color w:val="222222"/>
          <w:szCs w:val="24"/>
        </w:rPr>
        <w:t>used by CDOT for the</w:t>
      </w:r>
      <w:r w:rsidR="00FE5B28">
        <w:rPr>
          <w:rFonts w:eastAsia="Times New Roman"/>
          <w:color w:val="222222"/>
          <w:szCs w:val="24"/>
        </w:rPr>
        <w:t xml:space="preserve"> (now)</w:t>
      </w:r>
      <w:r w:rsidR="00FE5B28" w:rsidRPr="00FE5B28">
        <w:rPr>
          <w:rFonts w:eastAsia="Times New Roman"/>
          <w:color w:val="222222"/>
          <w:szCs w:val="24"/>
        </w:rPr>
        <w:t xml:space="preserve"> +</w:t>
      </w:r>
      <w:r w:rsidR="00FE5B28">
        <w:rPr>
          <w:rFonts w:eastAsia="Times New Roman"/>
          <w:color w:val="222222"/>
          <w:szCs w:val="24"/>
        </w:rPr>
        <w:t xml:space="preserve">, </w:t>
      </w:r>
      <w:r w:rsidR="00FE5B28" w:rsidRPr="00FE5B28">
        <w:rPr>
          <w:rFonts w:eastAsia="Times New Roman"/>
          <w:color w:val="222222"/>
          <w:szCs w:val="24"/>
        </w:rPr>
        <w:t>- 10% changes in oil prices</w:t>
      </w:r>
      <w:r w:rsidRPr="004A5521">
        <w:rPr>
          <w:rFonts w:eastAsia="Times New Roman"/>
          <w:color w:val="222222"/>
          <w:szCs w:val="24"/>
        </w:rPr>
        <w:t xml:space="preserve">. </w:t>
      </w:r>
      <w:r w:rsidR="00FE5B28">
        <w:rPr>
          <w:rFonts w:eastAsia="Times New Roman"/>
          <w:color w:val="222222"/>
          <w:szCs w:val="24"/>
        </w:rPr>
        <w:t xml:space="preserve"> </w:t>
      </w:r>
      <w:r w:rsidRPr="004A5521">
        <w:rPr>
          <w:rFonts w:eastAsia="Times New Roman"/>
          <w:color w:val="222222"/>
          <w:szCs w:val="24"/>
        </w:rPr>
        <w:t>The change</w:t>
      </w:r>
      <w:r w:rsidR="00FE5B28">
        <w:rPr>
          <w:rFonts w:eastAsia="Times New Roman"/>
          <w:color w:val="222222"/>
          <w:szCs w:val="24"/>
        </w:rPr>
        <w:t>s</w:t>
      </w:r>
      <w:r w:rsidRPr="004A5521">
        <w:rPr>
          <w:rFonts w:eastAsia="Times New Roman"/>
          <w:color w:val="222222"/>
          <w:szCs w:val="24"/>
        </w:rPr>
        <w:t xml:space="preserve"> to the </w:t>
      </w:r>
      <w:r w:rsidR="002E3355">
        <w:rPr>
          <w:rFonts w:eastAsia="Times New Roman"/>
          <w:color w:val="222222"/>
          <w:szCs w:val="24"/>
        </w:rPr>
        <w:t>s</w:t>
      </w:r>
      <w:r w:rsidRPr="004A5521">
        <w:rPr>
          <w:rFonts w:eastAsia="Times New Roman"/>
          <w:color w:val="222222"/>
          <w:szCs w:val="24"/>
        </w:rPr>
        <w:t xml:space="preserve">pecification was a joint effort </w:t>
      </w:r>
      <w:r w:rsidR="002E3355">
        <w:rPr>
          <w:rFonts w:eastAsia="Times New Roman"/>
          <w:color w:val="222222"/>
          <w:szCs w:val="24"/>
        </w:rPr>
        <w:t>of</w:t>
      </w:r>
      <w:r w:rsidRPr="004A5521">
        <w:rPr>
          <w:rFonts w:eastAsia="Times New Roman"/>
          <w:color w:val="222222"/>
          <w:szCs w:val="24"/>
        </w:rPr>
        <w:t xml:space="preserve"> CDOT and the Asphalt Industry</w:t>
      </w:r>
      <w:r w:rsidR="002E3355">
        <w:rPr>
          <w:rFonts w:eastAsia="Times New Roman"/>
          <w:color w:val="222222"/>
          <w:szCs w:val="24"/>
        </w:rPr>
        <w:t>,</w:t>
      </w:r>
      <w:r w:rsidRPr="004A5521">
        <w:rPr>
          <w:rFonts w:eastAsia="Times New Roman"/>
          <w:color w:val="222222"/>
          <w:szCs w:val="24"/>
        </w:rPr>
        <w:t xml:space="preserve"> and approved by the Materials Advisory Committee </w:t>
      </w:r>
      <w:r w:rsidR="00FE5B28">
        <w:rPr>
          <w:rFonts w:eastAsia="Times New Roman"/>
          <w:color w:val="222222"/>
          <w:szCs w:val="24"/>
        </w:rPr>
        <w:t xml:space="preserve">in </w:t>
      </w:r>
      <w:r w:rsidRPr="004A5521">
        <w:rPr>
          <w:rFonts w:eastAsia="Times New Roman"/>
          <w:color w:val="222222"/>
          <w:szCs w:val="24"/>
        </w:rPr>
        <w:t>November 2019.</w:t>
      </w:r>
    </w:p>
    <w:p w:rsidR="00FE5B28" w:rsidRDefault="00FE5B28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326C7">
        <w:rPr>
          <w:rFonts w:eastAsia="Times New Roman"/>
          <w:color w:val="222222"/>
          <w:szCs w:val="24"/>
        </w:rPr>
        <w:t xml:space="preserve">February </w:t>
      </w:r>
      <w:r w:rsidR="00747625">
        <w:rPr>
          <w:rFonts w:eastAsia="Times New Roman"/>
          <w:color w:val="222222"/>
          <w:szCs w:val="24"/>
        </w:rPr>
        <w:t>6</w:t>
      </w:r>
      <w:r w:rsidR="000326C7">
        <w:rPr>
          <w:rFonts w:eastAsia="Times New Roman"/>
          <w:color w:val="222222"/>
          <w:szCs w:val="24"/>
        </w:rPr>
        <w:t xml:space="preserve">, </w:t>
      </w:r>
      <w:r w:rsidRPr="000C53E3">
        <w:rPr>
          <w:rFonts w:eastAsia="Times New Roman"/>
          <w:color w:val="222222"/>
          <w:szCs w:val="24"/>
        </w:rPr>
        <w:t>20</w:t>
      </w:r>
      <w:r w:rsidR="00932FF5">
        <w:rPr>
          <w:rFonts w:eastAsia="Times New Roman"/>
          <w:color w:val="222222"/>
          <w:szCs w:val="24"/>
        </w:rPr>
        <w:t>20</w:t>
      </w:r>
      <w:r w:rsidRPr="000C53E3">
        <w:rPr>
          <w:rFonts w:eastAsia="Times New Roman"/>
          <w:color w:val="222222"/>
          <w:szCs w:val="24"/>
        </w:rPr>
        <w:t>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1A468C" w:rsidRPr="00504AD5" w:rsidRDefault="000C53E3" w:rsidP="001A468C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3E174D">
        <w:rPr>
          <w:rFonts w:eastAsia="Times New Roman"/>
          <w:color w:val="222222"/>
          <w:szCs w:val="24"/>
        </w:rPr>
        <w:t xml:space="preserve">include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="00BA1CD6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specification</w:t>
      </w:r>
      <w:r w:rsidR="002E3355">
        <w:rPr>
          <w:rFonts w:eastAsia="Times New Roman"/>
          <w:color w:val="222222"/>
          <w:szCs w:val="24"/>
        </w:rPr>
        <w:t xml:space="preserve"> in your book</w:t>
      </w:r>
      <w:r w:rsidRPr="000C53E3">
        <w:rPr>
          <w:rFonts w:eastAsia="Times New Roman"/>
          <w:color w:val="222222"/>
          <w:szCs w:val="24"/>
        </w:rPr>
        <w:t xml:space="preserve">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BF22EF" w:rsidRPr="00BF22EF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https://www.codot.gov/business/designsupport/cdot-construction-specifications/2019-construction-specifications/rev-ssp/rev-sec100-ssp/109accaacps.docx/view</w:t>
        </w:r>
      </w:hyperlink>
      <w:bookmarkStart w:id="0" w:name="_GoBack"/>
      <w:bookmarkEnd w:id="0"/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</w:p>
    <w:p w:rsidR="00AD7D23" w:rsidRDefault="00AD7D2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AD7D23" w:rsidRDefault="00AD7D2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Also, here is the link to the new </w:t>
      </w:r>
      <w:hyperlink r:id="rId7" w:history="1">
        <w:r w:rsidRPr="00AD7D23">
          <w:rPr>
            <w:rStyle w:val="Hyperlink"/>
            <w:rFonts w:eastAsia="Times New Roman"/>
            <w:szCs w:val="24"/>
          </w:rPr>
          <w:t xml:space="preserve">Asphalt Cement Cost Adjustment with </w:t>
        </w:r>
        <w:proofErr w:type="spellStart"/>
        <w:r w:rsidRPr="00AD7D23">
          <w:rPr>
            <w:rStyle w:val="Hyperlink"/>
            <w:rFonts w:eastAsia="Times New Roman"/>
            <w:szCs w:val="24"/>
          </w:rPr>
          <w:t>Poten</w:t>
        </w:r>
        <w:proofErr w:type="spellEnd"/>
        <w:r w:rsidRPr="00AD7D23">
          <w:rPr>
            <w:rStyle w:val="Hyperlink"/>
            <w:rFonts w:eastAsia="Times New Roman"/>
            <w:szCs w:val="24"/>
          </w:rPr>
          <w:t xml:space="preserve"> &amp; Partners and Argus Americas prices</w:t>
        </w:r>
      </w:hyperlink>
      <w:r>
        <w:rPr>
          <w:rFonts w:eastAsia="Times New Roman"/>
          <w:color w:val="222222"/>
          <w:szCs w:val="24"/>
        </w:rPr>
        <w:t xml:space="preserve"> website.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8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AD5" w:rsidRPr="00504AD5" w:rsidSect="00AD7D2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326C7"/>
    <w:rsid w:val="000C53E3"/>
    <w:rsid w:val="000D7A60"/>
    <w:rsid w:val="0013001C"/>
    <w:rsid w:val="00132787"/>
    <w:rsid w:val="001443C8"/>
    <w:rsid w:val="0017571D"/>
    <w:rsid w:val="001A468C"/>
    <w:rsid w:val="001B2D06"/>
    <w:rsid w:val="001D33E2"/>
    <w:rsid w:val="00225A50"/>
    <w:rsid w:val="00230FE8"/>
    <w:rsid w:val="002709A7"/>
    <w:rsid w:val="002A5BE1"/>
    <w:rsid w:val="002E3355"/>
    <w:rsid w:val="00372F45"/>
    <w:rsid w:val="003B6FFF"/>
    <w:rsid w:val="003E174D"/>
    <w:rsid w:val="004112C4"/>
    <w:rsid w:val="004A0631"/>
    <w:rsid w:val="004A5521"/>
    <w:rsid w:val="004E21B3"/>
    <w:rsid w:val="00504AD5"/>
    <w:rsid w:val="00515C75"/>
    <w:rsid w:val="005917CD"/>
    <w:rsid w:val="006E7E8E"/>
    <w:rsid w:val="00714288"/>
    <w:rsid w:val="0072610E"/>
    <w:rsid w:val="00747625"/>
    <w:rsid w:val="007C332A"/>
    <w:rsid w:val="00817147"/>
    <w:rsid w:val="00851891"/>
    <w:rsid w:val="0087733B"/>
    <w:rsid w:val="0088355A"/>
    <w:rsid w:val="008B0341"/>
    <w:rsid w:val="00932FF5"/>
    <w:rsid w:val="009D3499"/>
    <w:rsid w:val="009F5FF9"/>
    <w:rsid w:val="00A83B97"/>
    <w:rsid w:val="00A91710"/>
    <w:rsid w:val="00AD7D23"/>
    <w:rsid w:val="00BA1CD6"/>
    <w:rsid w:val="00BE6593"/>
    <w:rsid w:val="00BF22EF"/>
    <w:rsid w:val="00C26CB3"/>
    <w:rsid w:val="00C27C38"/>
    <w:rsid w:val="00CC51FE"/>
    <w:rsid w:val="00CE7034"/>
    <w:rsid w:val="00D30F43"/>
    <w:rsid w:val="00D33B52"/>
    <w:rsid w:val="00D33F24"/>
    <w:rsid w:val="00DC3633"/>
    <w:rsid w:val="00DD6CC6"/>
    <w:rsid w:val="00E1097D"/>
    <w:rsid w:val="00E3749C"/>
    <w:rsid w:val="00E422E4"/>
    <w:rsid w:val="00E46316"/>
    <w:rsid w:val="00E66A03"/>
    <w:rsid w:val="00E93A85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AA7C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ot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dot.gov/business/designsupport/cdot-construction-specifications/2019-construction-specifications/ac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dot.gov/business/designsupport/cdot-construction-specifications/2019-construction-specifications/rev-ssp/rev-sec100-ssp/109accaacps.docx/vie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46</cp:revision>
  <dcterms:created xsi:type="dcterms:W3CDTF">2019-03-25T16:07:00Z</dcterms:created>
  <dcterms:modified xsi:type="dcterms:W3CDTF">2020-01-27T21:54:00Z</dcterms:modified>
</cp:coreProperties>
</file>