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1B7482F"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871CC3">
        <w:rPr>
          <w:rFonts w:ascii="Arial" w:hAnsi="Arial"/>
          <w:b/>
          <w:color w:val="FF0000"/>
        </w:rPr>
        <w:t>6</w:t>
      </w:r>
      <w:r w:rsidR="00473AF5">
        <w:rPr>
          <w:rFonts w:ascii="Arial" w:hAnsi="Arial"/>
          <w:b/>
          <w:color w:val="FF0000"/>
        </w:rPr>
        <w:t>-</w:t>
      </w:r>
      <w:r w:rsidR="00ED57E4">
        <w:rPr>
          <w:rFonts w:ascii="Arial" w:hAnsi="Arial"/>
          <w:b/>
          <w:color w:val="FF0000"/>
        </w:rPr>
        <w:t>23</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0AC1B597"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04646205" w14:textId="2D03ACD8" w:rsidR="00C444D0"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51635045" w14:textId="77777777" w:rsidR="00C444D0" w:rsidRPr="00853B1E" w:rsidRDefault="00C444D0" w:rsidP="00C444D0">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Definitions and Terms</w:t>
      </w:r>
      <w:r w:rsidRPr="00853B1E">
        <w:rPr>
          <w:sz w:val="22"/>
        </w:rPr>
        <w:tab/>
        <w:t>(</w:t>
      </w:r>
      <w:r>
        <w:rPr>
          <w:sz w:val="22"/>
        </w:rPr>
        <w:t>June 23, 2021</w:t>
      </w:r>
      <w:r w:rsidRPr="00853B1E">
        <w:rPr>
          <w:sz w:val="22"/>
        </w:rPr>
        <w:t>)</w:t>
      </w:r>
      <w:r w:rsidRPr="00853B1E">
        <w:rPr>
          <w:sz w:val="22"/>
        </w:rPr>
        <w:tab/>
        <w:t>1</w:t>
      </w:r>
    </w:p>
    <w:p w14:paraId="010AB270" w14:textId="3CA6050A" w:rsidR="00C444D0" w:rsidRPr="00C444D0" w:rsidRDefault="00C444D0" w:rsidP="00C444D0">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409125C5" w14:textId="02FB468E" w:rsidR="00150A65"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275AEC4" w14:textId="2F8F52CE" w:rsidR="002C396A" w:rsidRPr="00853B1E" w:rsidRDefault="002C396A" w:rsidP="002C396A">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sidR="00871CC3">
        <w:rPr>
          <w:sz w:val="22"/>
        </w:rPr>
        <w:t>June 2</w:t>
      </w:r>
      <w:r>
        <w:rPr>
          <w:sz w:val="22"/>
        </w:rPr>
        <w:t>, 2021</w:t>
      </w:r>
      <w:r w:rsidRPr="00853B1E">
        <w:rPr>
          <w:sz w:val="22"/>
        </w:rPr>
        <w:t>)</w:t>
      </w:r>
      <w:r w:rsidRPr="00853B1E">
        <w:rPr>
          <w:sz w:val="22"/>
        </w:rPr>
        <w:tab/>
      </w:r>
      <w:r w:rsidR="00871CC3">
        <w:rPr>
          <w:sz w:val="22"/>
        </w:rPr>
        <w:t>1</w:t>
      </w:r>
      <w:r w:rsidR="003C0CF5">
        <w:rPr>
          <w:sz w:val="22"/>
        </w:rPr>
        <w:t>8</w:t>
      </w:r>
    </w:p>
    <w:p w14:paraId="64FF070F" w14:textId="0C871D41" w:rsidR="008A70CC" w:rsidRDefault="002C396A" w:rsidP="00871CC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r w:rsidR="008A70CC">
        <w:rPr>
          <w:i/>
          <w:color w:val="0000FF"/>
          <w:sz w:val="22"/>
        </w:rPr>
        <w:br w:type="page"/>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2E13267" w14:textId="2284A869" w:rsidR="003B47E3" w:rsidRPr="00853B1E" w:rsidRDefault="003B47E3" w:rsidP="003B47E3">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 (106.0</w:t>
      </w:r>
      <w:r>
        <w:rPr>
          <w:sz w:val="22"/>
        </w:rPr>
        <w:t>1</w:t>
      </w:r>
      <w:r>
        <w:rPr>
          <w:sz w:val="22"/>
        </w:rPr>
        <w:t>)</w:t>
      </w:r>
      <w:r w:rsidRPr="00853B1E">
        <w:rPr>
          <w:sz w:val="22"/>
        </w:rPr>
        <w:tab/>
        <w:t>(</w:t>
      </w:r>
      <w:r>
        <w:rPr>
          <w:sz w:val="22"/>
        </w:rPr>
        <w:t>J</w:t>
      </w:r>
      <w:r>
        <w:rPr>
          <w:sz w:val="22"/>
        </w:rPr>
        <w:t>une 23</w:t>
      </w:r>
      <w:r w:rsidR="00870C63">
        <w:rPr>
          <w:sz w:val="22"/>
        </w:rPr>
        <w:t xml:space="preserve">, </w:t>
      </w:r>
      <w:bookmarkStart w:id="0" w:name="_GoBack"/>
      <w:bookmarkEnd w:id="0"/>
      <w:r>
        <w:rPr>
          <w:sz w:val="22"/>
        </w:rPr>
        <w:t>2021</w:t>
      </w:r>
      <w:r w:rsidRPr="00853B1E">
        <w:rPr>
          <w:sz w:val="22"/>
        </w:rPr>
        <w:t>)</w:t>
      </w:r>
      <w:r w:rsidRPr="00853B1E">
        <w:rPr>
          <w:sz w:val="22"/>
        </w:rPr>
        <w:tab/>
        <w:t>1</w:t>
      </w:r>
    </w:p>
    <w:p w14:paraId="3BAE6BBC" w14:textId="74131E65" w:rsidR="003B47E3" w:rsidRPr="003B47E3" w:rsidRDefault="003B47E3" w:rsidP="003B47E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975D5DE" w14:textId="40F8E3C1"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003B47E3">
        <w:rPr>
          <w:sz w:val="22"/>
        </w:rPr>
        <w:t xml:space="preserve"> (106.02)</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1C0055FB"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4E5F871" w14:textId="6BEF7716" w:rsidR="00DC3B1A" w:rsidRPr="00853B1E" w:rsidRDefault="00DC3B1A" w:rsidP="00DC3B1A">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Prosecution and Progress</w:t>
      </w:r>
      <w:r w:rsidRPr="00853B1E">
        <w:rPr>
          <w:sz w:val="22"/>
        </w:rPr>
        <w:tab/>
        <w:t>(</w:t>
      </w:r>
      <w:r>
        <w:rPr>
          <w:sz w:val="22"/>
        </w:rPr>
        <w:t xml:space="preserve">June </w:t>
      </w:r>
      <w:r>
        <w:rPr>
          <w:sz w:val="22"/>
        </w:rPr>
        <w:t>23</w:t>
      </w:r>
      <w:r>
        <w:rPr>
          <w:sz w:val="22"/>
        </w:rPr>
        <w:t>, 2021</w:t>
      </w:r>
      <w:r w:rsidRPr="00853B1E">
        <w:rPr>
          <w:sz w:val="22"/>
        </w:rPr>
        <w:t>)</w:t>
      </w:r>
      <w:r w:rsidRPr="00853B1E">
        <w:rPr>
          <w:sz w:val="22"/>
        </w:rPr>
        <w:tab/>
        <w:t>1</w:t>
      </w:r>
    </w:p>
    <w:p w14:paraId="53EF2DE9" w14:textId="75E5F960" w:rsidR="00DC3B1A" w:rsidRPr="00DC3B1A" w:rsidRDefault="00DC3B1A" w:rsidP="00DC3B1A">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E19F652" w14:textId="0C255FE3" w:rsidR="00C67DDD" w:rsidRPr="00853B1E" w:rsidRDefault="00C67DDD" w:rsidP="00C67DDD">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Liquidated Damages</w:t>
      </w:r>
      <w:r w:rsidRPr="00853B1E">
        <w:rPr>
          <w:sz w:val="22"/>
        </w:rPr>
        <w:tab/>
        <w:t>(</w:t>
      </w:r>
      <w:r>
        <w:rPr>
          <w:sz w:val="22"/>
        </w:rPr>
        <w:t>June 18, 2021</w:t>
      </w:r>
      <w:r w:rsidRPr="00853B1E">
        <w:rPr>
          <w:sz w:val="22"/>
        </w:rPr>
        <w:t>)</w:t>
      </w:r>
      <w:r w:rsidRPr="00853B1E">
        <w:rPr>
          <w:sz w:val="22"/>
        </w:rPr>
        <w:tab/>
        <w:t>1</w:t>
      </w:r>
    </w:p>
    <w:p w14:paraId="7011BE3F" w14:textId="5B63719D" w:rsidR="00C67DDD" w:rsidRPr="00C67DDD" w:rsidRDefault="00C67DDD" w:rsidP="00C67DDD">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90ED5C4" w14:textId="1336C138"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070FB9">
        <w:rPr>
          <w:sz w:val="22"/>
        </w:rPr>
        <w:t>June 11</w:t>
      </w:r>
      <w:r>
        <w:rPr>
          <w:sz w:val="22"/>
        </w:rPr>
        <w:t>, 202</w:t>
      </w:r>
      <w:r w:rsidR="00070FB9">
        <w:rPr>
          <w:sz w:val="22"/>
        </w:rPr>
        <w:t>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68E41A84" w:rsidR="00285E69"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11DA3331" w14:textId="3161D5CD" w:rsidR="00137B3F" w:rsidRDefault="00137B3F">
      <w:pPr>
        <w:rPr>
          <w:i/>
          <w:color w:val="0000FF"/>
          <w:sz w:val="22"/>
        </w:rPr>
      </w:pPr>
      <w:r>
        <w:rPr>
          <w:i/>
          <w:color w:val="0000FF"/>
          <w:sz w:val="22"/>
        </w:rPr>
        <w:br w:type="page"/>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lastRenderedPageBreak/>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566B9BC5" w14:textId="5AA7F35A" w:rsidR="00C67DDD" w:rsidRDefault="005B70D2" w:rsidP="00137B3F">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5C8966F3" w14:textId="0F5F333A" w:rsidR="008A70CC" w:rsidRPr="008A70CC" w:rsidRDefault="00861020" w:rsidP="00C67DDD">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lastRenderedPageBreak/>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71B5E45" w14:textId="39D831DA" w:rsidR="00AE3DE1" w:rsidRDefault="0072185C" w:rsidP="00137B3F">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96C94E" w14:textId="08D77A0A" w:rsidR="00905B47" w:rsidRPr="00905B47" w:rsidRDefault="00A964C6" w:rsidP="00A964C6">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172597AE" w14:textId="563FDA51" w:rsidR="008066BC"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38CC8F45" w:rsidR="00702620"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AA123FC" w14:textId="2593DEFF" w:rsidR="00137B3F" w:rsidRDefault="00137B3F">
      <w:pPr>
        <w:rPr>
          <w:i/>
          <w:color w:val="0000FF"/>
          <w:sz w:val="22"/>
        </w:rPr>
      </w:pPr>
      <w:r>
        <w:rPr>
          <w:i/>
          <w:color w:val="0000FF"/>
          <w:sz w:val="22"/>
        </w:rPr>
        <w:br w:type="page"/>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lastRenderedPageBreak/>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143D9328" w14:textId="45B4AF43" w:rsidR="00905B47" w:rsidRDefault="007E6AB2" w:rsidP="00137B3F">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2B23B32" w14:textId="17FBADD6" w:rsidR="008066BC"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1290B4F"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Pr>
          <w:sz w:val="22"/>
        </w:rPr>
        <w:t>Ju</w:t>
      </w:r>
      <w:r w:rsidR="00D02972">
        <w:rPr>
          <w:sz w:val="22"/>
        </w:rPr>
        <w:t>ne</w:t>
      </w:r>
      <w:r>
        <w:rPr>
          <w:sz w:val="22"/>
        </w:rPr>
        <w:t xml:space="preserve"> 18, 2021</w:t>
      </w:r>
      <w:r w:rsidRPr="00853B1E">
        <w:rPr>
          <w:sz w:val="22"/>
        </w:rPr>
        <w:t>)</w:t>
      </w:r>
      <w:r w:rsidRPr="00853B1E">
        <w:rPr>
          <w:sz w:val="22"/>
        </w:rPr>
        <w:tab/>
        <w:t>1</w:t>
      </w:r>
    </w:p>
    <w:p w14:paraId="5FB0A934" w14:textId="77777777" w:rsidR="00AE3DE1" w:rsidRDefault="009D78FF" w:rsidP="00AE3DE1">
      <w:pPr>
        <w:tabs>
          <w:tab w:val="left" w:pos="360"/>
          <w:tab w:val="left" w:pos="7920"/>
          <w:tab w:val="right" w:pos="9900"/>
        </w:tabs>
        <w:ind w:left="360"/>
        <w:rPr>
          <w:i/>
          <w:color w:val="0000FF"/>
          <w:sz w:val="22"/>
        </w:rPr>
      </w:pPr>
      <w:r w:rsidRPr="007F1DF4">
        <w:rPr>
          <w:i/>
          <w:color w:val="0000FF"/>
          <w:sz w:val="22"/>
        </w:rPr>
        <w:t>All projects</w:t>
      </w:r>
      <w:r w:rsidR="008D43B8">
        <w:rPr>
          <w:i/>
          <w:color w:val="0000FF"/>
          <w:sz w:val="22"/>
        </w:rPr>
        <w:t xml:space="preserve"> with federal</w:t>
      </w:r>
      <w:r w:rsidR="00AE3DE1">
        <w:rPr>
          <w:i/>
          <w:color w:val="0000FF"/>
          <w:sz w:val="22"/>
        </w:rPr>
        <w:t xml:space="preserve"> and </w:t>
      </w:r>
      <w:r w:rsidR="00D02972">
        <w:rPr>
          <w:i/>
          <w:color w:val="0000FF"/>
          <w:sz w:val="22"/>
        </w:rPr>
        <w:t>state</w:t>
      </w:r>
      <w:r w:rsidR="004A7018">
        <w:rPr>
          <w:i/>
          <w:color w:val="0000FF"/>
          <w:sz w:val="22"/>
        </w:rPr>
        <w:t xml:space="preserve"> (except for local agency projects</w:t>
      </w:r>
      <w:r w:rsidR="00AE3DE1">
        <w:rPr>
          <w:i/>
          <w:color w:val="0000FF"/>
          <w:sz w:val="22"/>
        </w:rPr>
        <w:t xml:space="preserve"> not using LCPtracker</w:t>
      </w:r>
      <w:r w:rsidR="004A7018">
        <w:rPr>
          <w:i/>
          <w:color w:val="0000FF"/>
          <w:sz w:val="22"/>
        </w:rPr>
        <w:t>)</w:t>
      </w:r>
      <w:r w:rsidR="00D02972">
        <w:rPr>
          <w:i/>
          <w:color w:val="0000FF"/>
          <w:sz w:val="22"/>
        </w:rPr>
        <w:t xml:space="preserve"> funding</w:t>
      </w:r>
    </w:p>
    <w:p w14:paraId="7F8A7B95" w14:textId="1AB98134" w:rsidR="00A339B5" w:rsidRDefault="00D02972" w:rsidP="00C1101A">
      <w:pPr>
        <w:tabs>
          <w:tab w:val="left" w:pos="360"/>
          <w:tab w:val="left" w:pos="7920"/>
          <w:tab w:val="right" w:pos="9900"/>
        </w:tabs>
        <w:spacing w:after="120"/>
        <w:ind w:left="360"/>
        <w:rPr>
          <w:i/>
          <w:color w:val="0000FF"/>
          <w:sz w:val="22"/>
        </w:rPr>
      </w:pPr>
      <w:proofErr w:type="gramStart"/>
      <w:r>
        <w:rPr>
          <w:i/>
          <w:color w:val="0000FF"/>
          <w:sz w:val="22"/>
        </w:rPr>
        <w:t>after</w:t>
      </w:r>
      <w:proofErr w:type="gramEnd"/>
      <w:r>
        <w:rPr>
          <w:i/>
          <w:color w:val="0000FF"/>
          <w:sz w:val="22"/>
        </w:rPr>
        <w:t xml:space="preserve"> July 1, 2021</w:t>
      </w:r>
      <w:r w:rsidR="009D78FF" w:rsidRPr="007F1DF4">
        <w:rPr>
          <w:i/>
          <w:color w:val="0000FF"/>
          <w:sz w:val="22"/>
        </w:rPr>
        <w:t>.</w:t>
      </w:r>
    </w:p>
    <w:p w14:paraId="3C8A86FA" w14:textId="277E052D"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lastRenderedPageBreak/>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127F28">
        <w:rPr>
          <w:sz w:val="22"/>
        </w:rPr>
        <w:t>June 23</w:t>
      </w:r>
      <w:r w:rsidR="00802ADE" w:rsidRPr="00853B1E">
        <w:rPr>
          <w:sz w:val="22"/>
        </w:rPr>
        <w:t xml:space="preserve">, </w:t>
      </w:r>
      <w:r w:rsidR="004A0143">
        <w:rPr>
          <w:sz w:val="22"/>
        </w:rPr>
        <w:t>20</w:t>
      </w:r>
      <w:r w:rsidR="00127F28">
        <w:rPr>
          <w:sz w:val="22"/>
        </w:rPr>
        <w:t>2</w:t>
      </w:r>
      <w:r w:rsidR="004A0143">
        <w:rPr>
          <w:sz w:val="22"/>
        </w:rPr>
        <w:t>1</w:t>
      </w:r>
      <w:r w:rsidR="00FD1D9A" w:rsidRPr="00853B1E">
        <w:rPr>
          <w:sz w:val="22"/>
        </w:rPr>
        <w:t>)</w:t>
      </w:r>
      <w:r w:rsidRPr="00853B1E">
        <w:rPr>
          <w:sz w:val="22"/>
        </w:rPr>
        <w:tab/>
      </w:r>
      <w:r w:rsidR="00127F28">
        <w:rPr>
          <w:sz w:val="22"/>
        </w:rPr>
        <w:t>1</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4DB17277" w14:textId="357D5A89" w:rsidR="008066BC" w:rsidRDefault="003702AA" w:rsidP="00C1101A">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7B3BB025"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5FBAA5A"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CC8F1" w14:textId="77777777" w:rsidR="00C975FB" w:rsidRDefault="00C975FB">
      <w:r>
        <w:separator/>
      </w:r>
    </w:p>
  </w:endnote>
  <w:endnote w:type="continuationSeparator" w:id="0">
    <w:p w14:paraId="0965837F" w14:textId="77777777" w:rsidR="00C975FB" w:rsidRDefault="00C9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12A0A6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70C63">
      <w:rPr>
        <w:rStyle w:val="PageNumber"/>
        <w:noProof/>
      </w:rPr>
      <w:t>2</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5897" w14:textId="77777777" w:rsidR="00C975FB" w:rsidRDefault="00C975FB">
      <w:r>
        <w:separator/>
      </w:r>
    </w:p>
  </w:footnote>
  <w:footnote w:type="continuationSeparator" w:id="0">
    <w:p w14:paraId="3E18B194" w14:textId="77777777" w:rsidR="00C975FB" w:rsidRDefault="00C9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045D"/>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43B8"/>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7E4"/>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9344-C4C3-4FA5-B68C-70B20D3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148</cp:revision>
  <cp:lastPrinted>2018-01-06T00:26:00Z</cp:lastPrinted>
  <dcterms:created xsi:type="dcterms:W3CDTF">2020-11-03T21:56:00Z</dcterms:created>
  <dcterms:modified xsi:type="dcterms:W3CDTF">2021-06-22T22:05:00Z</dcterms:modified>
</cp:coreProperties>
</file>