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E44A2F3" w:rsidR="003503F9" w:rsidRPr="00187E9E" w:rsidRDefault="003503F9">
      <w:pPr>
        <w:pStyle w:val="FootnoteText"/>
        <w:rPr>
          <w:rFonts w:ascii="Arial" w:hAnsi="Arial"/>
          <w:b/>
        </w:rPr>
      </w:pPr>
      <w:r w:rsidRPr="00187E9E">
        <w:rPr>
          <w:rFonts w:ascii="Arial" w:hAnsi="Arial"/>
          <w:b/>
        </w:rPr>
        <w:t xml:space="preserve">SSP Index </w:t>
      </w:r>
      <w:r w:rsidR="006526DC">
        <w:rPr>
          <w:rFonts w:ascii="Arial" w:hAnsi="Arial"/>
          <w:b/>
          <w:color w:val="FF0000"/>
        </w:rPr>
        <w:t>0</w:t>
      </w:r>
      <w:r w:rsidR="00110BFA">
        <w:rPr>
          <w:rFonts w:ascii="Arial" w:hAnsi="Arial"/>
          <w:b/>
          <w:color w:val="FF0000"/>
        </w:rPr>
        <w:t>3</w:t>
      </w:r>
      <w:r w:rsidR="006526DC">
        <w:rPr>
          <w:rFonts w:ascii="Arial" w:hAnsi="Arial"/>
          <w:b/>
          <w:color w:val="FF0000"/>
        </w:rPr>
        <w:t>-</w:t>
      </w:r>
      <w:r w:rsidR="00110BFA">
        <w:rPr>
          <w:rFonts w:ascii="Arial" w:hAnsi="Arial"/>
          <w:b/>
          <w:color w:val="FF0000"/>
        </w:rPr>
        <w:t>18</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32B4F3AD"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62F4FB07" w14:textId="0AC7CB43" w:rsidR="0025542E" w:rsidRDefault="0025542E">
      <w:pPr>
        <w:rPr>
          <w:color w:val="0000FF"/>
          <w:sz w:val="22"/>
        </w:rPr>
      </w:pPr>
      <w:r>
        <w:rPr>
          <w:color w:val="0000FF"/>
          <w:sz w:val="22"/>
        </w:rPr>
        <w:br w:type="page"/>
      </w:r>
    </w:p>
    <w:p w14:paraId="2DCD7540" w14:textId="77777777" w:rsidR="00093BEA" w:rsidRDefault="00093BEA">
      <w:pPr>
        <w:rPr>
          <w:color w:val="0000FF"/>
          <w:sz w:val="22"/>
        </w:rPr>
      </w:pP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20BD75DC" w:rsidR="00CB6AB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76E38613" w:rsidR="00DE589F"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19B8A41" w14:textId="39F3D2AC" w:rsidR="00E06648" w:rsidRDefault="00E06648">
      <w:pPr>
        <w:rPr>
          <w:i/>
          <w:noProof/>
          <w:color w:val="0000FF"/>
          <w:sz w:val="22"/>
        </w:rPr>
      </w:pPr>
      <w:r>
        <w:rPr>
          <w:noProof/>
          <w:color w:val="0000FF"/>
        </w:rPr>
        <w:br w:type="page"/>
      </w:r>
    </w:p>
    <w:p w14:paraId="59E5EF58" w14:textId="77777777" w:rsidR="00E06648" w:rsidRDefault="00E06648" w:rsidP="00F11BE9">
      <w:pPr>
        <w:pStyle w:val="BodyTextIndent"/>
        <w:tabs>
          <w:tab w:val="left" w:pos="432"/>
          <w:tab w:val="left" w:pos="864"/>
          <w:tab w:val="left" w:pos="7380"/>
          <w:tab w:val="left" w:pos="8928"/>
          <w:tab w:val="right" w:pos="9630"/>
        </w:tabs>
        <w:spacing w:after="120" w:line="264" w:lineRule="atLeast"/>
        <w:rPr>
          <w:noProof/>
          <w:color w:val="0000FF"/>
        </w:rPr>
      </w:pP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20019B83"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08A632B0" w:rsidR="00123172" w:rsidRPr="009153E8"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1EC35963"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6B2ED0">
        <w:rPr>
          <w:noProof/>
          <w:color w:val="0000FF"/>
        </w:rPr>
        <w:t>having</w:t>
      </w:r>
      <w:r>
        <w:rPr>
          <w:noProof/>
          <w:color w:val="0000FF"/>
        </w:rPr>
        <w:t xml:space="preserve">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572BE299"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7F41ED8A" w:rsidR="006B2ED0" w:rsidRP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4A82BD5D"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4A77F71" w14:textId="6769BD64" w:rsidR="00E06648" w:rsidRDefault="00E06648">
      <w:pPr>
        <w:rPr>
          <w:i/>
          <w:color w:val="0000FF"/>
          <w:sz w:val="22"/>
        </w:rPr>
      </w:pPr>
      <w:r>
        <w:rPr>
          <w:i/>
          <w:color w:val="0000FF"/>
          <w:sz w:val="22"/>
        </w:rPr>
        <w:br w:type="page"/>
      </w:r>
    </w:p>
    <w:p w14:paraId="5E9387C8" w14:textId="77777777" w:rsidR="00E06648" w:rsidRDefault="00E06648" w:rsidP="00A371A7">
      <w:pPr>
        <w:keepNext/>
        <w:keepLines/>
        <w:tabs>
          <w:tab w:val="left" w:pos="360"/>
          <w:tab w:val="left" w:pos="7920"/>
          <w:tab w:val="right" w:pos="9900"/>
        </w:tabs>
        <w:spacing w:after="120"/>
        <w:ind w:left="360"/>
        <w:rPr>
          <w:i/>
          <w:color w:val="0000FF"/>
          <w:sz w:val="22"/>
        </w:rPr>
      </w:pPr>
    </w:p>
    <w:p w14:paraId="1CA89DBB" w14:textId="17FC5E46"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3A2F65">
        <w:rPr>
          <w:sz w:val="22"/>
        </w:rPr>
        <w:t>February 25</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1276013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1,</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BB73D6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D5D26">
        <w:rPr>
          <w:sz w:val="22"/>
        </w:rPr>
        <w:t xml:space="preserve">February </w:t>
      </w:r>
      <w:r w:rsidR="003A2F65">
        <w:rPr>
          <w:sz w:val="22"/>
        </w:rPr>
        <w:t>25</w:t>
      </w:r>
      <w:r w:rsidR="00540C02" w:rsidRPr="00540C02">
        <w:rPr>
          <w:sz w:val="22"/>
        </w:rPr>
        <w:t>, 2022</w:t>
      </w:r>
      <w:r w:rsidR="00E903FC" w:rsidRPr="00853B1E">
        <w:rPr>
          <w:sz w:val="22"/>
        </w:rPr>
        <w:t>)</w:t>
      </w:r>
      <w:r w:rsidRPr="00853B1E">
        <w:rPr>
          <w:sz w:val="22"/>
        </w:rPr>
        <w:tab/>
      </w:r>
      <w:r w:rsidR="0042002D">
        <w:rPr>
          <w:sz w:val="22"/>
        </w:rPr>
        <w:t>7</w:t>
      </w:r>
    </w:p>
    <w:p w14:paraId="7FBBB0AF" w14:textId="29A1948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3A2F65">
        <w:rPr>
          <w:sz w:val="22"/>
        </w:rPr>
        <w:t>2</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7B301B1C"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72D42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E2CB7">
        <w:rPr>
          <w:sz w:val="22"/>
        </w:rPr>
        <w:t>25</w:t>
      </w:r>
      <w:r w:rsidR="00540C02" w:rsidRPr="00540C02">
        <w:rPr>
          <w:sz w:val="22"/>
        </w:rPr>
        <w:t>, 2022</w:t>
      </w:r>
      <w:r w:rsidR="00E87DDF" w:rsidRPr="00853B1E">
        <w:rPr>
          <w:sz w:val="22"/>
        </w:rPr>
        <w:t>)</w:t>
      </w:r>
      <w:r w:rsidRPr="00853B1E">
        <w:rPr>
          <w:sz w:val="22"/>
        </w:rPr>
        <w:tab/>
      </w:r>
      <w:r w:rsidR="00DE2CB7">
        <w:rPr>
          <w:sz w:val="22"/>
        </w:rPr>
        <w:t>7</w:t>
      </w:r>
    </w:p>
    <w:p w14:paraId="14E7776B" w14:textId="5BEA9AD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123B7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21EF5DEE" w:rsidR="008070FA"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F33BB0" w14:textId="42DAC70E" w:rsidR="00E06648" w:rsidRDefault="00E06648">
      <w:pPr>
        <w:rPr>
          <w:i/>
          <w:color w:val="0000FF"/>
          <w:sz w:val="22"/>
          <w:szCs w:val="22"/>
        </w:rPr>
      </w:pPr>
      <w:r>
        <w:rPr>
          <w:i/>
          <w:color w:val="0000FF"/>
          <w:sz w:val="22"/>
          <w:szCs w:val="22"/>
        </w:rPr>
        <w:br w:type="page"/>
      </w:r>
    </w:p>
    <w:p w14:paraId="5E132F3D" w14:textId="77777777" w:rsidR="00E06648" w:rsidRPr="001A1E91" w:rsidRDefault="00E06648" w:rsidP="003C211A">
      <w:pPr>
        <w:tabs>
          <w:tab w:val="left" w:pos="360"/>
          <w:tab w:val="left" w:pos="7920"/>
          <w:tab w:val="right" w:pos="9900"/>
        </w:tabs>
        <w:spacing w:after="120"/>
        <w:ind w:left="360"/>
        <w:rPr>
          <w:i/>
          <w:color w:val="0000FF"/>
          <w:sz w:val="22"/>
          <w:szCs w:val="22"/>
        </w:rPr>
      </w:pP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bookmarkStart w:id="0" w:name="_GoBack"/>
      <w:bookmarkEnd w:id="0"/>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1732D20" w:rsidR="00751E5D" w:rsidRDefault="00423B53" w:rsidP="0025542E">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FFBB" w14:textId="77777777" w:rsidR="00253CC4" w:rsidRDefault="00253CC4">
      <w:r>
        <w:separator/>
      </w:r>
    </w:p>
  </w:endnote>
  <w:endnote w:type="continuationSeparator" w:id="0">
    <w:p w14:paraId="26FEAB30" w14:textId="77777777" w:rsidR="00253CC4" w:rsidRDefault="0025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6AEDF68"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06648">
      <w:rPr>
        <w:rStyle w:val="PageNumber"/>
        <w:noProof/>
      </w:rPr>
      <w:t>1</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49FF" w14:textId="77777777" w:rsidR="00253CC4" w:rsidRDefault="00253CC4">
      <w:r>
        <w:separator/>
      </w:r>
    </w:p>
  </w:footnote>
  <w:footnote w:type="continuationSeparator" w:id="0">
    <w:p w14:paraId="357C52FA" w14:textId="77777777" w:rsidR="00253CC4" w:rsidRDefault="0025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48C8"/>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B89"/>
    <w:rsid w:val="00F67E2D"/>
    <w:rsid w:val="00F67E87"/>
    <w:rsid w:val="00F709A8"/>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B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9291-D02C-4AC4-9016-9A672FC9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117</cp:revision>
  <cp:lastPrinted>2018-01-06T00:26:00Z</cp:lastPrinted>
  <dcterms:created xsi:type="dcterms:W3CDTF">2021-07-21T21:27:00Z</dcterms:created>
  <dcterms:modified xsi:type="dcterms:W3CDTF">2022-03-22T17:48:00Z</dcterms:modified>
</cp:coreProperties>
</file>