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414"/>
        <w:gridCol w:w="639"/>
        <w:gridCol w:w="1529"/>
        <w:gridCol w:w="713"/>
        <w:gridCol w:w="3788"/>
      </w:tblGrid>
      <w:tr w:rsidR="009A35D4" w14:paraId="2CE452B9" w14:textId="77777777">
        <w:trPr>
          <w:trHeight w:val="990"/>
        </w:trPr>
        <w:tc>
          <w:tcPr>
            <w:tcW w:w="5582" w:type="dxa"/>
            <w:gridSpan w:val="3"/>
            <w:tcBorders>
              <w:bottom w:val="single" w:sz="4" w:space="0" w:color="000000"/>
              <w:right w:val="single" w:sz="4" w:space="0" w:color="000000"/>
            </w:tcBorders>
          </w:tcPr>
          <w:p w14:paraId="7F6F7249" w14:textId="77777777" w:rsidR="009A35D4" w:rsidRDefault="00000000">
            <w:pPr>
              <w:pStyle w:val="TableParagraph"/>
              <w:spacing w:before="54" w:line="230" w:lineRule="exact"/>
              <w:rPr>
                <w:b/>
                <w:sz w:val="20"/>
              </w:rPr>
            </w:pPr>
            <w:r>
              <w:rPr>
                <w:b/>
                <w:sz w:val="20"/>
              </w:rPr>
              <w:t>COLORADO</w:t>
            </w:r>
            <w:r>
              <w:rPr>
                <w:b/>
                <w:spacing w:val="-4"/>
                <w:sz w:val="20"/>
              </w:rPr>
              <w:t xml:space="preserve"> </w:t>
            </w:r>
            <w:r>
              <w:rPr>
                <w:b/>
                <w:sz w:val="20"/>
              </w:rPr>
              <w:t>DEPARTMENT</w:t>
            </w:r>
            <w:r>
              <w:rPr>
                <w:b/>
                <w:spacing w:val="-1"/>
                <w:sz w:val="20"/>
              </w:rPr>
              <w:t xml:space="preserve"> </w:t>
            </w:r>
            <w:r>
              <w:rPr>
                <w:b/>
                <w:sz w:val="20"/>
              </w:rPr>
              <w:t>OF</w:t>
            </w:r>
            <w:r>
              <w:rPr>
                <w:b/>
                <w:spacing w:val="-6"/>
                <w:sz w:val="20"/>
              </w:rPr>
              <w:t xml:space="preserve"> </w:t>
            </w:r>
            <w:r>
              <w:rPr>
                <w:b/>
                <w:sz w:val="20"/>
              </w:rPr>
              <w:t>TRANSPORTATION</w:t>
            </w:r>
          </w:p>
          <w:p w14:paraId="71805DCB" w14:textId="77777777" w:rsidR="009A35D4" w:rsidRDefault="00000000">
            <w:pPr>
              <w:pStyle w:val="TableParagraph"/>
              <w:spacing w:before="0" w:line="242" w:lineRule="auto"/>
              <w:ind w:right="372"/>
              <w:rPr>
                <w:b/>
                <w:sz w:val="28"/>
              </w:rPr>
            </w:pPr>
            <w:r>
              <w:rPr>
                <w:b/>
                <w:sz w:val="28"/>
              </w:rPr>
              <w:t>SUBMITTAL OF NEW SPECIFICATION</w:t>
            </w:r>
            <w:r>
              <w:rPr>
                <w:b/>
                <w:spacing w:val="-75"/>
                <w:sz w:val="28"/>
              </w:rPr>
              <w:t xml:space="preserve"> </w:t>
            </w:r>
            <w:r>
              <w:rPr>
                <w:b/>
                <w:sz w:val="28"/>
              </w:rPr>
              <w:t>OR</w:t>
            </w:r>
            <w:r>
              <w:rPr>
                <w:b/>
                <w:spacing w:val="-1"/>
                <w:sz w:val="28"/>
              </w:rPr>
              <w:t xml:space="preserve"> </w:t>
            </w:r>
            <w:r>
              <w:rPr>
                <w:b/>
                <w:sz w:val="28"/>
              </w:rPr>
              <w:t>SPECIFICATION</w:t>
            </w:r>
            <w:r>
              <w:rPr>
                <w:b/>
                <w:spacing w:val="-1"/>
                <w:sz w:val="28"/>
              </w:rPr>
              <w:t xml:space="preserve"> </w:t>
            </w:r>
            <w:r>
              <w:rPr>
                <w:b/>
                <w:sz w:val="28"/>
              </w:rPr>
              <w:t>CHANGE</w:t>
            </w:r>
          </w:p>
        </w:tc>
        <w:tc>
          <w:tcPr>
            <w:tcW w:w="4501" w:type="dxa"/>
            <w:gridSpan w:val="2"/>
            <w:tcBorders>
              <w:left w:val="single" w:sz="4" w:space="0" w:color="000000"/>
              <w:bottom w:val="single" w:sz="4" w:space="0" w:color="000000"/>
            </w:tcBorders>
          </w:tcPr>
          <w:p w14:paraId="479D5B33" w14:textId="77777777" w:rsidR="009A35D4" w:rsidRDefault="00000000">
            <w:pPr>
              <w:pStyle w:val="TableParagraph"/>
              <w:spacing w:before="57"/>
              <w:rPr>
                <w:sz w:val="16"/>
              </w:rPr>
            </w:pPr>
            <w:r>
              <w:t>Log</w:t>
            </w:r>
            <w:r>
              <w:rPr>
                <w:spacing w:val="-3"/>
              </w:rPr>
              <w:t xml:space="preserve"> </w:t>
            </w:r>
            <w:r>
              <w:t>No.</w:t>
            </w:r>
            <w:r>
              <w:rPr>
                <w:spacing w:val="-1"/>
              </w:rPr>
              <w:t xml:space="preserve"> </w:t>
            </w:r>
            <w:r>
              <w:rPr>
                <w:sz w:val="16"/>
              </w:rPr>
              <w:t>(Assigned</w:t>
            </w:r>
            <w:r>
              <w:rPr>
                <w:spacing w:val="-2"/>
                <w:sz w:val="16"/>
              </w:rPr>
              <w:t xml:space="preserve"> </w:t>
            </w:r>
            <w:r>
              <w:rPr>
                <w:sz w:val="16"/>
              </w:rPr>
              <w:t>by</w:t>
            </w:r>
            <w:r>
              <w:rPr>
                <w:spacing w:val="-5"/>
                <w:sz w:val="16"/>
              </w:rPr>
              <w:t xml:space="preserve"> </w:t>
            </w:r>
            <w:r>
              <w:rPr>
                <w:sz w:val="16"/>
              </w:rPr>
              <w:t>Standards and</w:t>
            </w:r>
            <w:r>
              <w:rPr>
                <w:spacing w:val="-4"/>
                <w:sz w:val="16"/>
              </w:rPr>
              <w:t xml:space="preserve"> </w:t>
            </w:r>
            <w:r>
              <w:rPr>
                <w:sz w:val="16"/>
              </w:rPr>
              <w:t>Specifications Unit)</w:t>
            </w:r>
          </w:p>
          <w:p w14:paraId="649B1793" w14:textId="3874F40C" w:rsidR="00A56B8C" w:rsidRPr="00A56B8C" w:rsidRDefault="00A56B8C">
            <w:pPr>
              <w:pStyle w:val="TableParagraph"/>
              <w:spacing w:before="57"/>
              <w:rPr>
                <w:rFonts w:ascii="Trebuchet MS" w:hAnsi="Trebuchet MS"/>
                <w:sz w:val="24"/>
                <w:szCs w:val="24"/>
              </w:rPr>
            </w:pPr>
            <w:r w:rsidRPr="00A56B8C">
              <w:rPr>
                <w:rFonts w:ascii="Trebuchet MS" w:hAnsi="Trebuchet MS"/>
                <w:sz w:val="24"/>
                <w:szCs w:val="24"/>
              </w:rPr>
              <w:t>107-1-fy23</w:t>
            </w:r>
          </w:p>
        </w:tc>
      </w:tr>
      <w:tr w:rsidR="009A35D4" w14:paraId="10DFAA6A" w14:textId="77777777">
        <w:trPr>
          <w:trHeight w:val="830"/>
        </w:trPr>
        <w:tc>
          <w:tcPr>
            <w:tcW w:w="4053" w:type="dxa"/>
            <w:gridSpan w:val="2"/>
            <w:tcBorders>
              <w:top w:val="single" w:sz="4" w:space="0" w:color="000000"/>
              <w:bottom w:val="single" w:sz="4" w:space="0" w:color="000000"/>
              <w:right w:val="single" w:sz="4" w:space="0" w:color="000000"/>
            </w:tcBorders>
          </w:tcPr>
          <w:p w14:paraId="4E464166" w14:textId="77777777" w:rsidR="009A35D4" w:rsidRDefault="00000000">
            <w:pPr>
              <w:pStyle w:val="TableParagraph"/>
              <w:ind w:left="662" w:hanging="548"/>
            </w:pPr>
            <w:r>
              <w:t>TO:</w:t>
            </w:r>
            <w:r>
              <w:rPr>
                <w:spacing w:val="1"/>
              </w:rPr>
              <w:t xml:space="preserve"> </w:t>
            </w:r>
            <w:r>
              <w:t>Standards &amp; Specifications Unit</w:t>
            </w:r>
            <w:r>
              <w:rPr>
                <w:spacing w:val="-59"/>
              </w:rPr>
              <w:t xml:space="preserve"> </w:t>
            </w:r>
            <w:r>
              <w:t>Project Development</w:t>
            </w:r>
            <w:r>
              <w:rPr>
                <w:spacing w:val="-2"/>
              </w:rPr>
              <w:t xml:space="preserve"> </w:t>
            </w:r>
            <w:r>
              <w:t>Branch</w:t>
            </w:r>
          </w:p>
        </w:tc>
        <w:tc>
          <w:tcPr>
            <w:tcW w:w="6030" w:type="dxa"/>
            <w:gridSpan w:val="3"/>
            <w:tcBorders>
              <w:top w:val="single" w:sz="4" w:space="0" w:color="000000"/>
              <w:left w:val="single" w:sz="4" w:space="0" w:color="000000"/>
              <w:bottom w:val="single" w:sz="4" w:space="0" w:color="000000"/>
            </w:tcBorders>
          </w:tcPr>
          <w:p w14:paraId="7847B6C0" w14:textId="74826922" w:rsidR="009A35D4" w:rsidRDefault="00000000">
            <w:pPr>
              <w:pStyle w:val="TableParagraph"/>
              <w:ind w:left="113"/>
            </w:pPr>
            <w:r>
              <w:t>FROM:</w:t>
            </w:r>
            <w:r w:rsidR="00605633">
              <w:t xml:space="preserve"> Keith Wakefield, P.E. Construction Engineering Services Area Engineer</w:t>
            </w:r>
          </w:p>
          <w:p w14:paraId="723AD5A3" w14:textId="77777777" w:rsidR="009A35D4" w:rsidRDefault="009A35D4">
            <w:pPr>
              <w:pStyle w:val="TableParagraph"/>
              <w:spacing w:before="2"/>
              <w:ind w:left="0"/>
              <w:rPr>
                <w:rFonts w:ascii="Times New Roman"/>
              </w:rPr>
            </w:pPr>
          </w:p>
          <w:p w14:paraId="5622D203" w14:textId="77777777" w:rsidR="009A35D4" w:rsidRDefault="00000000">
            <w:pPr>
              <w:pStyle w:val="TableParagraph"/>
              <w:spacing w:before="0"/>
              <w:ind w:left="113"/>
              <w:rPr>
                <w:sz w:val="18"/>
              </w:rPr>
            </w:pPr>
            <w:r>
              <w:rPr>
                <w:sz w:val="18"/>
              </w:rPr>
              <w:t>(Region,</w:t>
            </w:r>
            <w:r>
              <w:rPr>
                <w:spacing w:val="-4"/>
                <w:sz w:val="18"/>
              </w:rPr>
              <w:t xml:space="preserve"> </w:t>
            </w:r>
            <w:r>
              <w:rPr>
                <w:sz w:val="18"/>
              </w:rPr>
              <w:t>Branch</w:t>
            </w:r>
            <w:r>
              <w:rPr>
                <w:spacing w:val="-1"/>
                <w:sz w:val="18"/>
              </w:rPr>
              <w:t xml:space="preserve"> </w:t>
            </w:r>
            <w:r>
              <w:rPr>
                <w:sz w:val="18"/>
              </w:rPr>
              <w:t>or</w:t>
            </w:r>
            <w:r>
              <w:rPr>
                <w:spacing w:val="-4"/>
                <w:sz w:val="18"/>
              </w:rPr>
              <w:t xml:space="preserve"> </w:t>
            </w:r>
            <w:r>
              <w:rPr>
                <w:sz w:val="18"/>
              </w:rPr>
              <w:t>Technical</w:t>
            </w:r>
            <w:r>
              <w:rPr>
                <w:spacing w:val="-3"/>
                <w:sz w:val="18"/>
              </w:rPr>
              <w:t xml:space="preserve"> </w:t>
            </w:r>
            <w:r>
              <w:rPr>
                <w:sz w:val="18"/>
              </w:rPr>
              <w:t>Committee)</w:t>
            </w:r>
          </w:p>
        </w:tc>
      </w:tr>
      <w:tr w:rsidR="009A35D4" w14:paraId="124F9DDA" w14:textId="77777777">
        <w:trPr>
          <w:trHeight w:val="873"/>
        </w:trPr>
        <w:tc>
          <w:tcPr>
            <w:tcW w:w="3414" w:type="dxa"/>
            <w:tcBorders>
              <w:top w:val="single" w:sz="4" w:space="0" w:color="000000"/>
              <w:bottom w:val="single" w:sz="4" w:space="0" w:color="000000"/>
              <w:right w:val="single" w:sz="4" w:space="0" w:color="000000"/>
            </w:tcBorders>
          </w:tcPr>
          <w:p w14:paraId="39D7DAC7" w14:textId="77777777" w:rsidR="009A35D4" w:rsidRDefault="00000000">
            <w:pPr>
              <w:pStyle w:val="TableParagraph"/>
            </w:pPr>
            <w:r>
              <w:t>SPECIFICATION</w:t>
            </w:r>
            <w:r>
              <w:rPr>
                <w:spacing w:val="-5"/>
              </w:rPr>
              <w:t xml:space="preserve"> </w:t>
            </w:r>
            <w:r>
              <w:t>SECTION</w:t>
            </w:r>
            <w:r>
              <w:rPr>
                <w:spacing w:val="-1"/>
              </w:rPr>
              <w:t xml:space="preserve"> </w:t>
            </w:r>
            <w:r>
              <w:t>NO.</w:t>
            </w:r>
          </w:p>
          <w:p w14:paraId="6F995881" w14:textId="3765A437" w:rsidR="00605633" w:rsidRDefault="00605633">
            <w:pPr>
              <w:pStyle w:val="TableParagraph"/>
            </w:pPr>
            <w:r>
              <w:t>10</w:t>
            </w:r>
            <w:r w:rsidR="00B47F3D">
              <w:t>7.02</w:t>
            </w:r>
          </w:p>
        </w:tc>
        <w:tc>
          <w:tcPr>
            <w:tcW w:w="2881" w:type="dxa"/>
            <w:gridSpan w:val="3"/>
            <w:tcBorders>
              <w:top w:val="single" w:sz="4" w:space="0" w:color="000000"/>
              <w:left w:val="single" w:sz="4" w:space="0" w:color="000000"/>
              <w:bottom w:val="single" w:sz="4" w:space="0" w:color="000000"/>
              <w:right w:val="single" w:sz="4" w:space="0" w:color="000000"/>
            </w:tcBorders>
          </w:tcPr>
          <w:p w14:paraId="5121128F" w14:textId="77777777" w:rsidR="009A35D4" w:rsidRDefault="00000000">
            <w:pPr>
              <w:pStyle w:val="TableParagraph"/>
              <w:ind w:left="124"/>
            </w:pPr>
            <w:r>
              <w:t>ITEM</w:t>
            </w:r>
          </w:p>
          <w:p w14:paraId="68E54F50" w14:textId="5468E569" w:rsidR="00A56B8C" w:rsidRDefault="00A56B8C">
            <w:pPr>
              <w:pStyle w:val="TableParagraph"/>
              <w:ind w:left="124"/>
            </w:pPr>
            <w:r>
              <w:t>Applicable taxes</w:t>
            </w:r>
          </w:p>
        </w:tc>
        <w:tc>
          <w:tcPr>
            <w:tcW w:w="3788" w:type="dxa"/>
            <w:tcBorders>
              <w:top w:val="single" w:sz="4" w:space="0" w:color="000000"/>
              <w:left w:val="single" w:sz="4" w:space="0" w:color="000000"/>
              <w:bottom w:val="single" w:sz="4" w:space="0" w:color="000000"/>
            </w:tcBorders>
          </w:tcPr>
          <w:p w14:paraId="4020930B" w14:textId="77777777" w:rsidR="009A35D4" w:rsidRDefault="00000000">
            <w:pPr>
              <w:pStyle w:val="TableParagraph"/>
              <w:ind w:left="113"/>
            </w:pPr>
            <w:r>
              <w:t>Priority</w:t>
            </w:r>
          </w:p>
          <w:p w14:paraId="3CB5E4D0" w14:textId="77777777" w:rsidR="009A35D4" w:rsidRDefault="009A35D4">
            <w:pPr>
              <w:pStyle w:val="TableParagraph"/>
              <w:spacing w:before="8"/>
              <w:ind w:left="0"/>
              <w:rPr>
                <w:rFonts w:ascii="Times New Roman"/>
                <w:sz w:val="21"/>
              </w:rPr>
            </w:pPr>
          </w:p>
          <w:p w14:paraId="2917D4E8" w14:textId="77777777" w:rsidR="009A35D4" w:rsidRDefault="00000000">
            <w:pPr>
              <w:pStyle w:val="TableParagraph"/>
              <w:spacing w:before="0"/>
              <w:ind w:left="113"/>
            </w:pPr>
            <w:r>
              <w:rPr>
                <w:spacing w:val="-1"/>
              </w:rPr>
              <w:t>Routine</w:t>
            </w:r>
            <w:r>
              <w:rPr>
                <w:spacing w:val="15"/>
              </w:rPr>
              <w:t xml:space="preserve"> </w:t>
            </w:r>
            <w:r>
              <w:rPr>
                <w:noProof/>
                <w:spacing w:val="11"/>
                <w:position w:val="-3"/>
              </w:rPr>
              <w:drawing>
                <wp:inline distT="0" distB="0" distL="0" distR="0" wp14:anchorId="5401B771" wp14:editId="60E75EB6">
                  <wp:extent cx="154289" cy="15427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54289" cy="154276"/>
                          </a:xfrm>
                          <a:prstGeom prst="rect">
                            <a:avLst/>
                          </a:prstGeom>
                        </pic:spPr>
                      </pic:pic>
                    </a:graphicData>
                  </a:graphic>
                </wp:inline>
              </w:drawing>
            </w:r>
            <w:r>
              <w:rPr>
                <w:rFonts w:ascii="Times New Roman"/>
                <w:spacing w:val="11"/>
              </w:rPr>
              <w:t xml:space="preserve">               </w:t>
            </w:r>
            <w:r>
              <w:rPr>
                <w:rFonts w:ascii="Times New Roman"/>
                <w:spacing w:val="30"/>
              </w:rPr>
              <w:t xml:space="preserve"> </w:t>
            </w:r>
            <w:r>
              <w:t>Fast</w:t>
            </w:r>
            <w:r>
              <w:rPr>
                <w:spacing w:val="11"/>
              </w:rPr>
              <w:t xml:space="preserve"> </w:t>
            </w:r>
            <w:r>
              <w:rPr>
                <w:noProof/>
                <w:spacing w:val="10"/>
                <w:position w:val="-2"/>
              </w:rPr>
              <w:drawing>
                <wp:inline distT="0" distB="0" distL="0" distR="0" wp14:anchorId="27296534" wp14:editId="7A1C43BE">
                  <wp:extent cx="154276" cy="15429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54276" cy="154290"/>
                          </a:xfrm>
                          <a:prstGeom prst="rect">
                            <a:avLst/>
                          </a:prstGeom>
                        </pic:spPr>
                      </pic:pic>
                    </a:graphicData>
                  </a:graphic>
                </wp:inline>
              </w:drawing>
            </w:r>
          </w:p>
        </w:tc>
      </w:tr>
      <w:tr w:rsidR="009A35D4" w14:paraId="037F2673" w14:textId="77777777">
        <w:trPr>
          <w:trHeight w:val="4742"/>
        </w:trPr>
        <w:tc>
          <w:tcPr>
            <w:tcW w:w="10083" w:type="dxa"/>
            <w:gridSpan w:val="5"/>
            <w:tcBorders>
              <w:top w:val="single" w:sz="4" w:space="0" w:color="000000"/>
              <w:bottom w:val="single" w:sz="4" w:space="0" w:color="000000"/>
            </w:tcBorders>
          </w:tcPr>
          <w:p w14:paraId="29FF3A0A" w14:textId="77777777" w:rsidR="009A35D4" w:rsidRDefault="00000000">
            <w:pPr>
              <w:pStyle w:val="TableParagraph"/>
              <w:spacing w:before="57"/>
            </w:pPr>
            <w:r>
              <w:t>Reason</w:t>
            </w:r>
            <w:r>
              <w:rPr>
                <w:spacing w:val="-3"/>
              </w:rPr>
              <w:t xml:space="preserve"> </w:t>
            </w:r>
            <w:r>
              <w:t>for</w:t>
            </w:r>
            <w:r>
              <w:rPr>
                <w:spacing w:val="-1"/>
              </w:rPr>
              <w:t xml:space="preserve"> </w:t>
            </w:r>
            <w:r>
              <w:t>this new</w:t>
            </w:r>
            <w:r>
              <w:rPr>
                <w:spacing w:val="-3"/>
              </w:rPr>
              <w:t xml:space="preserve"> </w:t>
            </w:r>
            <w:r>
              <w:t>or</w:t>
            </w:r>
            <w:r>
              <w:rPr>
                <w:spacing w:val="-2"/>
              </w:rPr>
              <w:t xml:space="preserve"> </w:t>
            </w:r>
            <w:r>
              <w:t>changed</w:t>
            </w:r>
            <w:r>
              <w:rPr>
                <w:spacing w:val="-2"/>
              </w:rPr>
              <w:t xml:space="preserve"> </w:t>
            </w:r>
            <w:r>
              <w:t>specification:</w:t>
            </w:r>
          </w:p>
          <w:p w14:paraId="3D0F9AA6" w14:textId="77777777" w:rsidR="00605633" w:rsidRDefault="00605633">
            <w:pPr>
              <w:pStyle w:val="TableParagraph"/>
              <w:spacing w:before="57"/>
            </w:pPr>
          </w:p>
          <w:p w14:paraId="1367784F" w14:textId="5005B483" w:rsidR="00605633" w:rsidRDefault="00B47F3D" w:rsidP="00B47F3D">
            <w:pPr>
              <w:pStyle w:val="TableParagraph"/>
              <w:spacing w:before="57"/>
            </w:pPr>
            <w:r>
              <w:t xml:space="preserve">Contractors working for the State of Colorado can apply for a tax exemption on state sales tax for materials permanently incorporated into the work. Currently, the spec reads the Contractors have to pay all taxes, which has led to confusion as to if they can get a tax exemption or not or if they should bid a tax exemption or not. </w:t>
            </w:r>
          </w:p>
        </w:tc>
      </w:tr>
      <w:tr w:rsidR="009A35D4" w14:paraId="5F222EF9" w14:textId="77777777">
        <w:trPr>
          <w:trHeight w:val="5870"/>
        </w:trPr>
        <w:tc>
          <w:tcPr>
            <w:tcW w:w="10083" w:type="dxa"/>
            <w:gridSpan w:val="5"/>
            <w:tcBorders>
              <w:top w:val="single" w:sz="4" w:space="0" w:color="000000"/>
              <w:bottom w:val="single" w:sz="4" w:space="0" w:color="000000"/>
            </w:tcBorders>
          </w:tcPr>
          <w:p w14:paraId="046B98BA" w14:textId="35A3F149" w:rsidR="00B47F3D" w:rsidRDefault="00000000">
            <w:pPr>
              <w:pStyle w:val="TableParagraph"/>
            </w:pPr>
            <w:r>
              <w:t>New</w:t>
            </w:r>
            <w:r>
              <w:rPr>
                <w:spacing w:val="-4"/>
              </w:rPr>
              <w:t xml:space="preserve"> </w:t>
            </w:r>
            <w:r>
              <w:t>or</w:t>
            </w:r>
            <w:r>
              <w:rPr>
                <w:spacing w:val="1"/>
              </w:rPr>
              <w:t xml:space="preserve"> </w:t>
            </w:r>
            <w:r>
              <w:t>Revised</w:t>
            </w:r>
            <w:r>
              <w:rPr>
                <w:spacing w:val="-1"/>
              </w:rPr>
              <w:t xml:space="preserve"> </w:t>
            </w:r>
            <w:r>
              <w:t>Specification:</w:t>
            </w:r>
            <w:r w:rsidR="00605633">
              <w:t xml:space="preserve"> </w:t>
            </w:r>
          </w:p>
          <w:p w14:paraId="6D6C5EED" w14:textId="71828907" w:rsidR="00B47F3D" w:rsidRDefault="00B47F3D">
            <w:pPr>
              <w:pStyle w:val="TableParagraph"/>
            </w:pPr>
          </w:p>
          <w:p w14:paraId="37CFD724" w14:textId="10348FBF" w:rsidR="00B47F3D" w:rsidRDefault="00B47F3D">
            <w:pPr>
              <w:pStyle w:val="TableParagraph"/>
            </w:pPr>
            <w:r>
              <w:t>Revise 107.02 from:</w:t>
            </w:r>
          </w:p>
          <w:p w14:paraId="4B707E23" w14:textId="77777777" w:rsidR="00B47F3D" w:rsidRDefault="00B47F3D">
            <w:pPr>
              <w:pStyle w:val="TableParagraph"/>
            </w:pPr>
          </w:p>
          <w:p w14:paraId="54AC9004" w14:textId="77777777" w:rsidR="009A35D4" w:rsidRDefault="00B47F3D">
            <w:pPr>
              <w:pStyle w:val="TableParagraph"/>
            </w:pPr>
            <w:r w:rsidRPr="00B47F3D">
              <w:t>107.02 Permits, Licenses, and Taxes. The Contractor shall procure all permits and licenses, pay all charges, fees, and taxes, and give all notices necessary and incidental to the due and lawful prosecution of the Contract.</w:t>
            </w:r>
          </w:p>
          <w:p w14:paraId="3F5E4B7B" w14:textId="77777777" w:rsidR="00B47F3D" w:rsidRDefault="00B47F3D">
            <w:pPr>
              <w:pStyle w:val="TableParagraph"/>
            </w:pPr>
          </w:p>
          <w:p w14:paraId="07C49CF9" w14:textId="77777777" w:rsidR="00B47F3D" w:rsidRDefault="00B47F3D">
            <w:pPr>
              <w:pStyle w:val="TableParagraph"/>
            </w:pPr>
            <w:r>
              <w:t>To:</w:t>
            </w:r>
          </w:p>
          <w:p w14:paraId="1CC6AD17" w14:textId="615DAFA6" w:rsidR="00B47F3D" w:rsidRDefault="00B47F3D" w:rsidP="00B47F3D">
            <w:pPr>
              <w:pStyle w:val="TableParagraph"/>
            </w:pPr>
            <w:r w:rsidRPr="00B47F3D">
              <w:t xml:space="preserve">107.02 Permits, Licenses, and Taxes. The Contractor shall procure all permits and licenses, pay all charges, fees, and </w:t>
            </w:r>
            <w:r w:rsidRPr="00B47F3D">
              <w:rPr>
                <w:highlight w:val="yellow"/>
              </w:rPr>
              <w:t>applicable</w:t>
            </w:r>
            <w:r>
              <w:t xml:space="preserve"> </w:t>
            </w:r>
            <w:r w:rsidRPr="00B47F3D">
              <w:t>taxes, and give all notices necessary and incidental to the due and lawful prosecution of the Contract.</w:t>
            </w:r>
          </w:p>
          <w:p w14:paraId="3FF2C2A6" w14:textId="22F40DDD" w:rsidR="00B47F3D" w:rsidRDefault="00B47F3D">
            <w:pPr>
              <w:pStyle w:val="TableParagraph"/>
            </w:pPr>
          </w:p>
        </w:tc>
      </w:tr>
      <w:tr w:rsidR="009A35D4" w14:paraId="2FCF4478" w14:textId="77777777">
        <w:trPr>
          <w:trHeight w:val="623"/>
        </w:trPr>
        <w:tc>
          <w:tcPr>
            <w:tcW w:w="10083" w:type="dxa"/>
            <w:gridSpan w:val="5"/>
            <w:tcBorders>
              <w:top w:val="single" w:sz="4" w:space="0" w:color="000000"/>
            </w:tcBorders>
          </w:tcPr>
          <w:p w14:paraId="3D70EA0A" w14:textId="77777777" w:rsidR="009A35D4" w:rsidRDefault="00000000">
            <w:pPr>
              <w:pStyle w:val="TableParagraph"/>
              <w:spacing w:before="57"/>
              <w:ind w:left="835" w:hanging="721"/>
            </w:pPr>
            <w:r>
              <w:t>N</w:t>
            </w:r>
            <w:r>
              <w:rPr>
                <w:sz w:val="18"/>
              </w:rPr>
              <w:t>OTE</w:t>
            </w:r>
            <w:r>
              <w:t>:</w:t>
            </w:r>
            <w:r>
              <w:rPr>
                <w:spacing w:val="1"/>
              </w:rPr>
              <w:t xml:space="preserve"> </w:t>
            </w:r>
            <w:r>
              <w:t>See Procedural Directive 513.1 for a description of appropriate specification development</w:t>
            </w:r>
            <w:r>
              <w:rPr>
                <w:spacing w:val="-59"/>
              </w:rPr>
              <w:t xml:space="preserve"> </w:t>
            </w:r>
            <w:r>
              <w:t>procedures.</w:t>
            </w:r>
          </w:p>
        </w:tc>
      </w:tr>
    </w:tbl>
    <w:p w14:paraId="3D828A55" w14:textId="77777777" w:rsidR="009A35D4" w:rsidRDefault="00000000">
      <w:pPr>
        <w:pStyle w:val="BodyText"/>
        <w:tabs>
          <w:tab w:val="left" w:pos="2290"/>
        </w:tabs>
      </w:pPr>
      <w:r>
        <w:t>CDOT</w:t>
      </w:r>
      <w:r>
        <w:rPr>
          <w:spacing w:val="-2"/>
        </w:rPr>
        <w:t xml:space="preserve"> </w:t>
      </w:r>
      <w:r>
        <w:t>Form #1215</w:t>
      </w:r>
      <w:r>
        <w:tab/>
        <w:t>1/15</w:t>
      </w:r>
    </w:p>
    <w:sectPr w:rsidR="009A35D4">
      <w:type w:val="continuous"/>
      <w:pgSz w:w="12240" w:h="15840"/>
      <w:pgMar w:top="720" w:right="800" w:bottom="2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AA4432"/>
    <w:multiLevelType w:val="hybridMultilevel"/>
    <w:tmpl w:val="FB8E4034"/>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num w:numId="1" w16cid:durableId="473646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9A35D4"/>
    <w:rsid w:val="00605633"/>
    <w:rsid w:val="00810497"/>
    <w:rsid w:val="009A35D4"/>
    <w:rsid w:val="00A56B8C"/>
    <w:rsid w:val="00AF17B2"/>
    <w:rsid w:val="00B47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0A616"/>
  <w15:docId w15:val="{206B40B1-BAFE-4F03-AC69-096741452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03" w:lineRule="exact"/>
      <w:ind w:right="634"/>
      <w:jc w:val="right"/>
    </w:pPr>
    <w:rPr>
      <w:b/>
      <w:bCs/>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5"/>
      <w:ind w:left="11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219</Words>
  <Characters>1249</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SUBMITTAL OF NEW SPECIFICATION CHANGE</dc:title>
  <dc:creator>wilmoths</dc:creator>
  <cp:lastModifiedBy>Kayen, Michele</cp:lastModifiedBy>
  <cp:revision>4</cp:revision>
  <dcterms:created xsi:type="dcterms:W3CDTF">2023-04-11T19:24:00Z</dcterms:created>
  <dcterms:modified xsi:type="dcterms:W3CDTF">2023-04-13T16:26:00Z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2015-01-13T00:00:00Z</vt:filetime>
  </property>
  <property fmtid="{D5CDD505-2E9C-101B-9397-08002B2CF9AE}" pid="3" name="Creator">
    <vt:lpwstr>Microsoft® Word 2013</vt:lpwstr>
  </property>
  <property fmtid="{D5CDD505-2E9C-101B-9397-08002B2CF9AE}" pid="4" name="LastSaved">
    <vt:filetime>2021-11-22T00:00:00Z</vt:filetime>
  </property>
</Properties>
</file>