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B3" w:rsidRDefault="001D68B3">
      <w:pPr>
        <w:pStyle w:val="Header"/>
        <w:tabs>
          <w:tab w:val="clear" w:pos="4320"/>
          <w:tab w:val="clear" w:pos="8640"/>
        </w:tabs>
        <w:rPr>
          <w:sz w:val="22"/>
          <w:szCs w:val="22"/>
        </w:rPr>
      </w:pPr>
      <w:bookmarkStart w:id="0" w:name="_GoBack"/>
      <w:bookmarkEnd w:id="0"/>
      <w:proofErr w:type="spellStart"/>
      <w:proofErr w:type="gramStart"/>
      <w:r>
        <w:rPr>
          <w:sz w:val="22"/>
          <w:szCs w:val="22"/>
        </w:rPr>
        <w:t>m</w:t>
      </w:r>
      <w:r w:rsidRPr="001A1734">
        <w:rPr>
          <w:sz w:val="22"/>
          <w:szCs w:val="22"/>
        </w:rPr>
        <w:t>bs</w:t>
      </w:r>
      <w:proofErr w:type="spellEnd"/>
      <w:proofErr w:type="gramEnd"/>
    </w:p>
    <w:p w:rsidR="001D68B3" w:rsidRPr="001A1734" w:rsidRDefault="001D68B3">
      <w:pPr>
        <w:pStyle w:val="Header"/>
        <w:tabs>
          <w:tab w:val="clear" w:pos="4320"/>
          <w:tab w:val="clear" w:pos="8640"/>
        </w:tabs>
        <w:rPr>
          <w:sz w:val="22"/>
          <w:szCs w:val="22"/>
        </w:rPr>
      </w:pPr>
      <w:r>
        <w:rPr>
          <w:sz w:val="22"/>
          <w:szCs w:val="22"/>
        </w:rPr>
        <w:t>Page 1 of 2</w:t>
      </w:r>
    </w:p>
    <w:p w:rsidR="001D68B3" w:rsidRPr="001A1734" w:rsidRDefault="007A1ABC" w:rsidP="007A1ABC">
      <w:pPr>
        <w:pStyle w:val="Header"/>
        <w:tabs>
          <w:tab w:val="clear" w:pos="4320"/>
          <w:tab w:val="clear" w:pos="8640"/>
          <w:tab w:val="left" w:pos="1225"/>
        </w:tabs>
        <w:rPr>
          <w:sz w:val="22"/>
          <w:szCs w:val="22"/>
        </w:rPr>
      </w:pPr>
      <w:r>
        <w:rPr>
          <w:sz w:val="22"/>
        </w:rPr>
        <w:t>02-03-11</w:t>
      </w:r>
      <w:r>
        <w:rPr>
          <w:sz w:val="22"/>
          <w:szCs w:val="22"/>
        </w:rPr>
        <w:tab/>
      </w:r>
    </w:p>
    <w:p w:rsidR="001D68B3" w:rsidRPr="001A1734" w:rsidRDefault="001D68B3">
      <w:pPr>
        <w:pStyle w:val="Header"/>
        <w:tabs>
          <w:tab w:val="clear" w:pos="4320"/>
          <w:tab w:val="clear" w:pos="8640"/>
        </w:tabs>
        <w:jc w:val="center"/>
        <w:rPr>
          <w:sz w:val="22"/>
          <w:szCs w:val="22"/>
        </w:rPr>
      </w:pPr>
    </w:p>
    <w:p w:rsidR="001D68B3" w:rsidRPr="001A1734" w:rsidRDefault="001D68B3">
      <w:pPr>
        <w:pStyle w:val="Header"/>
        <w:tabs>
          <w:tab w:val="clear" w:pos="4320"/>
          <w:tab w:val="clear" w:pos="8640"/>
        </w:tabs>
        <w:jc w:val="center"/>
        <w:rPr>
          <w:sz w:val="22"/>
          <w:szCs w:val="22"/>
        </w:rPr>
      </w:pPr>
      <w:r w:rsidRPr="001A1734">
        <w:rPr>
          <w:sz w:val="22"/>
          <w:szCs w:val="22"/>
        </w:rPr>
        <w:t>MULTIPLE BID SCHEDULES</w:t>
      </w:r>
    </w:p>
    <w:p w:rsidR="001D68B3" w:rsidRPr="001A1734" w:rsidRDefault="001D68B3">
      <w:pPr>
        <w:pStyle w:val="Header"/>
        <w:tabs>
          <w:tab w:val="clear" w:pos="4320"/>
          <w:tab w:val="clear" w:pos="8640"/>
        </w:tabs>
        <w:jc w:val="center"/>
        <w:rPr>
          <w:b/>
          <w:bCs/>
          <w:sz w:val="22"/>
          <w:szCs w:val="22"/>
        </w:rPr>
      </w:pPr>
    </w:p>
    <w:p w:rsidR="001D68B3" w:rsidRPr="001A1734" w:rsidRDefault="001D68B3">
      <w:pPr>
        <w:widowControl w:val="0"/>
        <w:tabs>
          <w:tab w:val="left" w:pos="-144"/>
          <w:tab w:val="left" w:pos="7176"/>
          <w:tab w:val="right" w:pos="9456"/>
        </w:tabs>
        <w:spacing w:line="240" w:lineRule="atLeast"/>
        <w:rPr>
          <w:sz w:val="22"/>
          <w:szCs w:val="22"/>
        </w:rPr>
      </w:pPr>
      <w:r>
        <w:rPr>
          <w:sz w:val="22"/>
          <w:szCs w:val="22"/>
        </w:rPr>
        <w:t>T</w:t>
      </w:r>
      <w:r w:rsidRPr="001A1734">
        <w:rPr>
          <w:sz w:val="22"/>
          <w:szCs w:val="22"/>
        </w:rPr>
        <w:t xml:space="preserve">here are </w:t>
      </w:r>
      <w:r w:rsidRPr="005420C1">
        <w:rPr>
          <w:color w:val="800000"/>
        </w:rPr>
        <w:t>♦</w:t>
      </w:r>
      <w:r w:rsidRPr="001A1734">
        <w:rPr>
          <w:sz w:val="22"/>
          <w:szCs w:val="22"/>
        </w:rPr>
        <w:t xml:space="preserve"> separate bid schedules for this project.  The Bidder</w:t>
      </w:r>
      <w:r>
        <w:rPr>
          <w:sz w:val="22"/>
          <w:szCs w:val="22"/>
        </w:rPr>
        <w:t xml:space="preserve"> shall</w:t>
      </w:r>
      <w:r w:rsidRPr="001A1734">
        <w:rPr>
          <w:sz w:val="22"/>
          <w:szCs w:val="22"/>
        </w:rPr>
        <w:t xml:space="preserve"> submit </w:t>
      </w:r>
      <w:r>
        <w:rPr>
          <w:sz w:val="22"/>
          <w:szCs w:val="22"/>
        </w:rPr>
        <w:t xml:space="preserve">a </w:t>
      </w:r>
      <w:r w:rsidRPr="001A1734">
        <w:rPr>
          <w:sz w:val="22"/>
          <w:szCs w:val="22"/>
        </w:rPr>
        <w:t xml:space="preserve">bid for </w:t>
      </w:r>
      <w:r>
        <w:rPr>
          <w:sz w:val="22"/>
          <w:szCs w:val="22"/>
        </w:rPr>
        <w:t>each</w:t>
      </w:r>
      <w:r w:rsidRPr="001A1734">
        <w:rPr>
          <w:sz w:val="22"/>
          <w:szCs w:val="22"/>
        </w:rPr>
        <w:t xml:space="preserve"> schedule.  The schedules </w:t>
      </w:r>
      <w:r w:rsidR="00EF5606">
        <w:rPr>
          <w:sz w:val="22"/>
          <w:szCs w:val="22"/>
        </w:rPr>
        <w:t>for this project are as follows:</w:t>
      </w:r>
    </w:p>
    <w:p w:rsidR="001D68B3" w:rsidRPr="001A1734" w:rsidRDefault="001D68B3">
      <w:pPr>
        <w:widowControl w:val="0"/>
        <w:tabs>
          <w:tab w:val="left" w:pos="-144"/>
          <w:tab w:val="left" w:pos="7176"/>
          <w:tab w:val="right" w:pos="9456"/>
        </w:tabs>
        <w:spacing w:line="240" w:lineRule="atLeast"/>
        <w:rPr>
          <w:sz w:val="22"/>
          <w:szCs w:val="22"/>
        </w:rPr>
      </w:pPr>
    </w:p>
    <w:p w:rsidR="001D68B3" w:rsidRPr="001A1734" w:rsidRDefault="001D68B3">
      <w:pPr>
        <w:widowControl w:val="0"/>
        <w:tabs>
          <w:tab w:val="left" w:pos="-144"/>
          <w:tab w:val="left" w:pos="7176"/>
          <w:tab w:val="right" w:pos="9456"/>
        </w:tabs>
        <w:spacing w:line="240" w:lineRule="atLeast"/>
        <w:rPr>
          <w:sz w:val="22"/>
          <w:szCs w:val="22"/>
        </w:rPr>
      </w:pPr>
      <w:r w:rsidRPr="001A1734">
        <w:rPr>
          <w:sz w:val="22"/>
          <w:szCs w:val="22"/>
        </w:rPr>
        <w:t xml:space="preserve">Schedule A:  </w:t>
      </w:r>
      <w:r w:rsidRPr="005420C1">
        <w:rPr>
          <w:color w:val="800000"/>
        </w:rPr>
        <w:t>▲</w:t>
      </w:r>
    </w:p>
    <w:p w:rsidR="001D68B3" w:rsidRPr="001A1734" w:rsidRDefault="001D68B3">
      <w:pPr>
        <w:pStyle w:val="tableofcontents"/>
        <w:tabs>
          <w:tab w:val="clear" w:pos="7200"/>
          <w:tab w:val="clear" w:pos="9360"/>
          <w:tab w:val="left" w:pos="-144"/>
          <w:tab w:val="left" w:pos="7176"/>
          <w:tab w:val="right" w:pos="9456"/>
        </w:tabs>
        <w:rPr>
          <w:szCs w:val="22"/>
        </w:rPr>
      </w:pPr>
    </w:p>
    <w:p w:rsidR="001D68B3" w:rsidRPr="001A1734" w:rsidRDefault="001D68B3">
      <w:pPr>
        <w:widowControl w:val="0"/>
        <w:tabs>
          <w:tab w:val="left" w:pos="-144"/>
          <w:tab w:val="left" w:pos="7176"/>
          <w:tab w:val="right" w:pos="9456"/>
        </w:tabs>
        <w:spacing w:line="240" w:lineRule="atLeast"/>
        <w:rPr>
          <w:sz w:val="22"/>
          <w:szCs w:val="22"/>
        </w:rPr>
      </w:pPr>
      <w:r w:rsidRPr="001A1734">
        <w:rPr>
          <w:sz w:val="22"/>
          <w:szCs w:val="22"/>
        </w:rPr>
        <w:t xml:space="preserve">Schedule B:  </w:t>
      </w:r>
      <w:r w:rsidRPr="005420C1">
        <w:rPr>
          <w:color w:val="800000"/>
        </w:rPr>
        <w:t>▲</w:t>
      </w:r>
    </w:p>
    <w:p w:rsidR="001D68B3" w:rsidRPr="001A1734" w:rsidRDefault="001D68B3">
      <w:pPr>
        <w:widowControl w:val="0"/>
        <w:tabs>
          <w:tab w:val="left" w:pos="-144"/>
          <w:tab w:val="left" w:pos="7176"/>
          <w:tab w:val="right" w:pos="9456"/>
        </w:tabs>
        <w:spacing w:line="240" w:lineRule="atLeast"/>
        <w:rPr>
          <w:sz w:val="22"/>
          <w:szCs w:val="22"/>
        </w:rPr>
      </w:pPr>
    </w:p>
    <w:p w:rsidR="001D68B3" w:rsidRPr="001A1734" w:rsidRDefault="005F4B50">
      <w:pPr>
        <w:pStyle w:val="tableofcontents"/>
        <w:tabs>
          <w:tab w:val="clear" w:pos="7200"/>
          <w:tab w:val="clear" w:pos="9360"/>
          <w:tab w:val="left" w:pos="-144"/>
          <w:tab w:val="left" w:pos="7176"/>
          <w:tab w:val="right" w:pos="9456"/>
        </w:tabs>
        <w:rPr>
          <w:szCs w:val="22"/>
        </w:rPr>
      </w:pPr>
      <w:r w:rsidRPr="005420C1">
        <w:rPr>
          <w:color w:val="800000"/>
        </w:rPr>
        <w:t>♦</w:t>
      </w:r>
      <w:r w:rsidR="001D68B3" w:rsidRPr="001A1734">
        <w:rPr>
          <w:szCs w:val="22"/>
        </w:rPr>
        <w:t xml:space="preserve">Schedule C:  </w:t>
      </w:r>
      <w:r w:rsidR="001D68B3" w:rsidRPr="005F4B50">
        <w:rPr>
          <w:color w:val="800000"/>
          <w:sz w:val="24"/>
          <w:szCs w:val="24"/>
        </w:rPr>
        <w:t>▲</w:t>
      </w:r>
    </w:p>
    <w:p w:rsidR="001D68B3" w:rsidRPr="001A1734" w:rsidRDefault="001D68B3">
      <w:pPr>
        <w:pStyle w:val="tableofcontents"/>
        <w:tabs>
          <w:tab w:val="clear" w:pos="7200"/>
          <w:tab w:val="clear" w:pos="9360"/>
          <w:tab w:val="left" w:pos="-144"/>
          <w:tab w:val="left" w:pos="7176"/>
          <w:tab w:val="right" w:pos="9456"/>
        </w:tabs>
        <w:rPr>
          <w:szCs w:val="22"/>
        </w:rPr>
      </w:pPr>
      <w:r w:rsidRPr="001A1734">
        <w:rPr>
          <w:szCs w:val="22"/>
        </w:rPr>
        <w:tab/>
      </w:r>
    </w:p>
    <w:p w:rsidR="001D68B3" w:rsidRPr="001A1734" w:rsidRDefault="001D68B3">
      <w:pPr>
        <w:pStyle w:val="tableofcontents"/>
        <w:tabs>
          <w:tab w:val="clear" w:pos="7200"/>
          <w:tab w:val="clear" w:pos="9360"/>
          <w:tab w:val="left" w:pos="-144"/>
          <w:tab w:val="left" w:pos="7176"/>
          <w:tab w:val="right" w:pos="9456"/>
        </w:tabs>
        <w:rPr>
          <w:szCs w:val="22"/>
        </w:rPr>
      </w:pPr>
      <w:r w:rsidRPr="001A1734">
        <w:rPr>
          <w:szCs w:val="22"/>
        </w:rPr>
        <w:t>The Bidder’s proposal shall specify a unit bid price for each pay item in all bid schedules.  Failure to include unit bid prices for each bid item in all bid schedules shall be cause for rejection of the Bidder’s proposal.</w:t>
      </w:r>
      <w:r>
        <w:rPr>
          <w:szCs w:val="22"/>
        </w:rPr>
        <w:t xml:space="preserve">  If a bidder does not bid on all schedules, his bids will be rejected and set aside.</w:t>
      </w:r>
    </w:p>
    <w:p w:rsidR="001D68B3" w:rsidRPr="001A1734" w:rsidRDefault="001D68B3">
      <w:pPr>
        <w:widowControl w:val="0"/>
        <w:tabs>
          <w:tab w:val="left" w:pos="-144"/>
          <w:tab w:val="left" w:pos="7176"/>
          <w:tab w:val="right" w:pos="9456"/>
        </w:tabs>
        <w:spacing w:line="240" w:lineRule="atLeast"/>
        <w:rPr>
          <w:sz w:val="22"/>
          <w:szCs w:val="22"/>
        </w:rPr>
      </w:pPr>
    </w:p>
    <w:p w:rsidR="001D68B3" w:rsidRDefault="001D68B3" w:rsidP="00BF71AB">
      <w:pPr>
        <w:pStyle w:val="tableofcontents"/>
        <w:tabs>
          <w:tab w:val="clear" w:pos="7200"/>
          <w:tab w:val="clear" w:pos="9360"/>
          <w:tab w:val="left" w:pos="-144"/>
          <w:tab w:val="left" w:pos="7176"/>
          <w:tab w:val="right" w:pos="9456"/>
        </w:tabs>
        <w:rPr>
          <w:szCs w:val="22"/>
        </w:rPr>
      </w:pPr>
      <w:r w:rsidRPr="005420C1">
        <w:rPr>
          <w:color w:val="800000"/>
        </w:rPr>
        <w:t>♦</w:t>
      </w:r>
      <w:r>
        <w:rPr>
          <w:szCs w:val="22"/>
        </w:rPr>
        <w:t>The bid opening process will be as follows:</w:t>
      </w:r>
    </w:p>
    <w:p w:rsidR="001D68B3" w:rsidRPr="007555EC" w:rsidRDefault="001D68B3" w:rsidP="00BF71AB">
      <w:pPr>
        <w:pStyle w:val="tableofcontents"/>
        <w:tabs>
          <w:tab w:val="clear" w:pos="7200"/>
          <w:tab w:val="clear" w:pos="9360"/>
          <w:tab w:val="left" w:pos="-144"/>
          <w:tab w:val="left" w:pos="7176"/>
          <w:tab w:val="right" w:pos="9456"/>
        </w:tabs>
        <w:rPr>
          <w:szCs w:val="22"/>
        </w:rPr>
      </w:pPr>
    </w:p>
    <w:p w:rsidR="001D68B3" w:rsidRPr="00443722" w:rsidRDefault="001D68B3" w:rsidP="00BF71AB">
      <w:pPr>
        <w:pStyle w:val="tableofcontents"/>
        <w:numPr>
          <w:ilvl w:val="0"/>
          <w:numId w:val="1"/>
        </w:numPr>
        <w:tabs>
          <w:tab w:val="clear" w:pos="7200"/>
          <w:tab w:val="clear" w:pos="9360"/>
          <w:tab w:val="left" w:pos="-144"/>
          <w:tab w:val="left" w:pos="7176"/>
          <w:tab w:val="right" w:pos="9456"/>
        </w:tabs>
        <w:rPr>
          <w:szCs w:val="22"/>
        </w:rPr>
      </w:pPr>
      <w:r w:rsidRPr="00443722">
        <w:rPr>
          <w:szCs w:val="22"/>
        </w:rPr>
        <w:t xml:space="preserve">The maximum acceptable bid for the project will be announced immediately prior to the bid opening.  </w:t>
      </w:r>
    </w:p>
    <w:p w:rsidR="001D68B3" w:rsidRPr="00443722" w:rsidRDefault="001D68B3" w:rsidP="00BF71AB">
      <w:pPr>
        <w:pStyle w:val="tableofcontents"/>
        <w:numPr>
          <w:ilvl w:val="0"/>
          <w:numId w:val="1"/>
        </w:numPr>
        <w:tabs>
          <w:tab w:val="clear" w:pos="7200"/>
          <w:tab w:val="clear" w:pos="9360"/>
          <w:tab w:val="left" w:pos="-144"/>
          <w:tab w:val="left" w:pos="7176"/>
          <w:tab w:val="right" w:pos="9456"/>
        </w:tabs>
        <w:rPr>
          <w:szCs w:val="22"/>
        </w:rPr>
      </w:pPr>
      <w:r w:rsidRPr="00443722">
        <w:rPr>
          <w:szCs w:val="22"/>
        </w:rPr>
        <w:t xml:space="preserve">The total bid for </w:t>
      </w:r>
      <w:r w:rsidR="00934A56" w:rsidRPr="00443722">
        <w:rPr>
          <w:szCs w:val="22"/>
        </w:rPr>
        <w:t>S</w:t>
      </w:r>
      <w:r w:rsidRPr="00443722">
        <w:rPr>
          <w:szCs w:val="22"/>
        </w:rPr>
        <w:t xml:space="preserve">chedule B will be read for each bidder.  </w:t>
      </w:r>
    </w:p>
    <w:p w:rsidR="001D68B3" w:rsidRPr="00443722" w:rsidRDefault="001D68B3" w:rsidP="00BF71AB">
      <w:pPr>
        <w:pStyle w:val="tableofcontents"/>
        <w:numPr>
          <w:ilvl w:val="0"/>
          <w:numId w:val="1"/>
        </w:numPr>
        <w:tabs>
          <w:tab w:val="clear" w:pos="7200"/>
          <w:tab w:val="clear" w:pos="9360"/>
          <w:tab w:val="left" w:pos="-144"/>
          <w:tab w:val="left" w:pos="7176"/>
          <w:tab w:val="right" w:pos="9456"/>
        </w:tabs>
        <w:rPr>
          <w:szCs w:val="22"/>
        </w:rPr>
      </w:pPr>
      <w:r w:rsidRPr="00443722">
        <w:rPr>
          <w:szCs w:val="22"/>
        </w:rPr>
        <w:t xml:space="preserve">If none of the bids for </w:t>
      </w:r>
      <w:r w:rsidR="00934A56" w:rsidRPr="00443722">
        <w:rPr>
          <w:szCs w:val="22"/>
        </w:rPr>
        <w:t>S</w:t>
      </w:r>
      <w:r w:rsidRPr="00443722">
        <w:rPr>
          <w:szCs w:val="22"/>
        </w:rPr>
        <w:t xml:space="preserve">chedule A is at or below the maximum acceptable bid, the bids for </w:t>
      </w:r>
      <w:r w:rsidR="00934A56" w:rsidRPr="00443722">
        <w:rPr>
          <w:szCs w:val="22"/>
        </w:rPr>
        <w:t>S</w:t>
      </w:r>
      <w:r w:rsidRPr="00443722">
        <w:rPr>
          <w:szCs w:val="22"/>
        </w:rPr>
        <w:t xml:space="preserve">chedule A will not be read, and the apparent low bidder for Schedule B will be announced. </w:t>
      </w:r>
    </w:p>
    <w:p w:rsidR="001D68B3" w:rsidRPr="00443722" w:rsidRDefault="001D68B3" w:rsidP="00BF71AB">
      <w:pPr>
        <w:pStyle w:val="tableofcontents"/>
        <w:numPr>
          <w:ilvl w:val="0"/>
          <w:numId w:val="1"/>
        </w:numPr>
        <w:tabs>
          <w:tab w:val="clear" w:pos="7200"/>
          <w:tab w:val="clear" w:pos="9360"/>
          <w:tab w:val="left" w:pos="-144"/>
          <w:tab w:val="left" w:pos="7176"/>
          <w:tab w:val="right" w:pos="9456"/>
        </w:tabs>
        <w:rPr>
          <w:szCs w:val="22"/>
        </w:rPr>
      </w:pPr>
      <w:r w:rsidRPr="00443722">
        <w:rPr>
          <w:szCs w:val="22"/>
        </w:rPr>
        <w:t xml:space="preserve">If one or more of the bids for Schedule A is at or under the maximum acceptable bid, the total bid for Schedule A will be read for each bidder.  </w:t>
      </w:r>
    </w:p>
    <w:p w:rsidR="001D68B3" w:rsidRPr="00443722" w:rsidRDefault="001D68B3" w:rsidP="00BF71AB">
      <w:pPr>
        <w:pStyle w:val="tableofcontents"/>
        <w:numPr>
          <w:ilvl w:val="0"/>
          <w:numId w:val="1"/>
        </w:numPr>
        <w:tabs>
          <w:tab w:val="clear" w:pos="7200"/>
          <w:tab w:val="clear" w:pos="9360"/>
          <w:tab w:val="left" w:pos="-144"/>
          <w:tab w:val="left" w:pos="7176"/>
          <w:tab w:val="right" w:pos="9456"/>
        </w:tabs>
        <w:rPr>
          <w:szCs w:val="22"/>
        </w:rPr>
      </w:pPr>
      <w:r w:rsidRPr="00443722">
        <w:rPr>
          <w:szCs w:val="22"/>
        </w:rPr>
        <w:t xml:space="preserve">After all Schedule </w:t>
      </w:r>
      <w:proofErr w:type="gramStart"/>
      <w:r w:rsidRPr="00443722">
        <w:rPr>
          <w:szCs w:val="22"/>
        </w:rPr>
        <w:t>A</w:t>
      </w:r>
      <w:proofErr w:type="gramEnd"/>
      <w:r w:rsidRPr="00443722">
        <w:rPr>
          <w:szCs w:val="22"/>
        </w:rPr>
        <w:t xml:space="preserve"> bids have been read the apparent low bidder for Schedule A will be announced.  </w:t>
      </w:r>
    </w:p>
    <w:p w:rsidR="001D68B3" w:rsidRPr="00443722" w:rsidRDefault="001D68B3">
      <w:pPr>
        <w:pStyle w:val="tableofcontents"/>
        <w:widowControl/>
        <w:tabs>
          <w:tab w:val="clear" w:pos="7200"/>
          <w:tab w:val="clear" w:pos="9360"/>
        </w:tabs>
        <w:spacing w:line="240" w:lineRule="auto"/>
        <w:rPr>
          <w:szCs w:val="22"/>
        </w:rPr>
      </w:pPr>
    </w:p>
    <w:p w:rsidR="001D68B3" w:rsidRPr="001A1734" w:rsidRDefault="001D68B3">
      <w:pPr>
        <w:widowControl w:val="0"/>
        <w:tabs>
          <w:tab w:val="left" w:pos="-144"/>
          <w:tab w:val="left" w:pos="7176"/>
          <w:tab w:val="right" w:pos="9456"/>
        </w:tabs>
        <w:spacing w:line="240" w:lineRule="atLeast"/>
        <w:rPr>
          <w:sz w:val="22"/>
          <w:szCs w:val="22"/>
        </w:rPr>
      </w:pPr>
      <w:r w:rsidRPr="00443722">
        <w:rPr>
          <w:sz w:val="22"/>
          <w:szCs w:val="22"/>
        </w:rPr>
        <w:t xml:space="preserve">The Department will award the Contract to the lowest responsible bidder of the largest bid schedule </w:t>
      </w:r>
      <w:proofErr w:type="gramStart"/>
      <w:r w:rsidRPr="00443722">
        <w:rPr>
          <w:sz w:val="22"/>
          <w:szCs w:val="22"/>
        </w:rPr>
        <w:t>that results</w:t>
      </w:r>
      <w:proofErr w:type="gramEnd"/>
      <w:r w:rsidRPr="00443722">
        <w:rPr>
          <w:sz w:val="22"/>
          <w:szCs w:val="22"/>
        </w:rPr>
        <w:t xml:space="preserve"> in a</w:t>
      </w:r>
      <w:r w:rsidR="00515C5B" w:rsidRPr="00443722">
        <w:rPr>
          <w:sz w:val="22"/>
          <w:szCs w:val="22"/>
        </w:rPr>
        <w:t xml:space="preserve"> low bid at or</w:t>
      </w:r>
      <w:r w:rsidR="000A6C87">
        <w:rPr>
          <w:sz w:val="22"/>
          <w:szCs w:val="22"/>
        </w:rPr>
        <w:t xml:space="preserve"> less than the maximum acceptable</w:t>
      </w:r>
      <w:r w:rsidR="00515C5B" w:rsidRPr="00443722">
        <w:rPr>
          <w:sz w:val="22"/>
          <w:szCs w:val="22"/>
        </w:rPr>
        <w:t xml:space="preserve"> bid.  If none of the schedules results in a low bid at or less than</w:t>
      </w:r>
      <w:r w:rsidRPr="00443722">
        <w:rPr>
          <w:sz w:val="22"/>
          <w:szCs w:val="22"/>
        </w:rPr>
        <w:t xml:space="preserve"> </w:t>
      </w:r>
      <w:r w:rsidR="00515C5B" w:rsidRPr="00443722">
        <w:rPr>
          <w:sz w:val="22"/>
          <w:szCs w:val="22"/>
        </w:rPr>
        <w:t xml:space="preserve">the maximum </w:t>
      </w:r>
      <w:r w:rsidR="000A6C87">
        <w:rPr>
          <w:sz w:val="22"/>
          <w:szCs w:val="22"/>
        </w:rPr>
        <w:t>acceptable</w:t>
      </w:r>
      <w:r w:rsidR="00515C5B" w:rsidRPr="00443722">
        <w:rPr>
          <w:sz w:val="22"/>
          <w:szCs w:val="22"/>
        </w:rPr>
        <w:t xml:space="preserve"> bid, the Department will award the Contract to the lowest responsible bidder on schedule </w:t>
      </w:r>
      <w:r w:rsidR="00515C5B" w:rsidRPr="00443722">
        <w:rPr>
          <w:color w:val="800000"/>
        </w:rPr>
        <w:t xml:space="preserve">♣ </w:t>
      </w:r>
      <w:r w:rsidR="00515C5B" w:rsidRPr="000A6C87">
        <w:rPr>
          <w:color w:val="000000"/>
          <w:sz w:val="22"/>
        </w:rPr>
        <w:t>provided that it results in a</w:t>
      </w:r>
      <w:r w:rsidR="00515C5B" w:rsidRPr="00443722">
        <w:rPr>
          <w:color w:val="800000"/>
        </w:rPr>
        <w:t xml:space="preserve"> </w:t>
      </w:r>
      <w:r w:rsidRPr="00443722">
        <w:rPr>
          <w:sz w:val="22"/>
          <w:szCs w:val="22"/>
        </w:rPr>
        <w:t>total project cost less than 110 percent</w:t>
      </w:r>
      <w:r w:rsidRPr="00443722">
        <w:rPr>
          <w:color w:val="800000"/>
        </w:rPr>
        <w:t>♥</w:t>
      </w:r>
      <w:r w:rsidRPr="00443722">
        <w:rPr>
          <w:sz w:val="22"/>
          <w:szCs w:val="22"/>
        </w:rPr>
        <w:t xml:space="preserve"> of the Project Budget. If the low bid</w:t>
      </w:r>
      <w:r w:rsidR="005F4B50" w:rsidRPr="00443722">
        <w:rPr>
          <w:sz w:val="22"/>
          <w:szCs w:val="22"/>
        </w:rPr>
        <w:t xml:space="preserve"> for Schedule </w:t>
      </w:r>
      <w:r w:rsidR="005F4B50" w:rsidRPr="00443722">
        <w:rPr>
          <w:color w:val="800000"/>
        </w:rPr>
        <w:t>♣</w:t>
      </w:r>
      <w:r w:rsidRPr="00443722">
        <w:rPr>
          <w:sz w:val="22"/>
          <w:szCs w:val="22"/>
        </w:rPr>
        <w:t xml:space="preserve"> </w:t>
      </w:r>
      <w:r w:rsidR="005F4B50" w:rsidRPr="00443722">
        <w:rPr>
          <w:sz w:val="22"/>
          <w:szCs w:val="22"/>
        </w:rPr>
        <w:t xml:space="preserve">does not </w:t>
      </w:r>
      <w:r w:rsidR="001B2568" w:rsidRPr="00443722">
        <w:rPr>
          <w:sz w:val="22"/>
          <w:szCs w:val="22"/>
        </w:rPr>
        <w:t xml:space="preserve">result in a total cost </w:t>
      </w:r>
      <w:proofErr w:type="gramStart"/>
      <w:r w:rsidRPr="00443722">
        <w:rPr>
          <w:sz w:val="22"/>
          <w:szCs w:val="22"/>
        </w:rPr>
        <w:t>under</w:t>
      </w:r>
      <w:proofErr w:type="gramEnd"/>
      <w:r w:rsidRPr="00443722">
        <w:rPr>
          <w:sz w:val="22"/>
          <w:szCs w:val="22"/>
        </w:rPr>
        <w:t xml:space="preserve"> 110 percent</w:t>
      </w:r>
      <w:r w:rsidRPr="00443722">
        <w:rPr>
          <w:color w:val="800000"/>
        </w:rPr>
        <w:t>♥</w:t>
      </w:r>
      <w:r w:rsidRPr="00443722">
        <w:rPr>
          <w:sz w:val="22"/>
          <w:szCs w:val="22"/>
        </w:rPr>
        <w:t xml:space="preserve"> of the Project Budget, the Department may supplement the Project Budget in order to award the Schedule </w:t>
      </w:r>
      <w:r w:rsidRPr="00443722">
        <w:rPr>
          <w:color w:val="800000"/>
        </w:rPr>
        <w:t>♣</w:t>
      </w:r>
      <w:r w:rsidRPr="00443722">
        <w:rPr>
          <w:sz w:val="22"/>
          <w:szCs w:val="22"/>
        </w:rPr>
        <w:t xml:space="preserve"> project.</w:t>
      </w:r>
      <w:r w:rsidRPr="001A1734">
        <w:rPr>
          <w:sz w:val="22"/>
          <w:szCs w:val="22"/>
        </w:rPr>
        <w:t xml:space="preserve">  The possibility of having different low bidders on different schedules is recognized. </w:t>
      </w:r>
    </w:p>
    <w:p w:rsidR="001D68B3" w:rsidRPr="001A1734" w:rsidRDefault="001D68B3">
      <w:pPr>
        <w:widowControl w:val="0"/>
        <w:tabs>
          <w:tab w:val="left" w:pos="-144"/>
          <w:tab w:val="left" w:pos="7176"/>
          <w:tab w:val="right" w:pos="9456"/>
        </w:tabs>
        <w:spacing w:line="240" w:lineRule="atLeast"/>
        <w:rPr>
          <w:sz w:val="22"/>
          <w:szCs w:val="22"/>
        </w:rPr>
      </w:pPr>
    </w:p>
    <w:p w:rsidR="001D68B3" w:rsidRPr="001A1734" w:rsidRDefault="001D68B3">
      <w:pPr>
        <w:pStyle w:val="tableofcontents"/>
        <w:tabs>
          <w:tab w:val="clear" w:pos="7200"/>
          <w:tab w:val="clear" w:pos="9360"/>
          <w:tab w:val="left" w:pos="-144"/>
          <w:tab w:val="left" w:pos="7176"/>
          <w:tab w:val="right" w:pos="9456"/>
        </w:tabs>
        <w:rPr>
          <w:szCs w:val="22"/>
        </w:rPr>
      </w:pPr>
      <w:r>
        <w:rPr>
          <w:szCs w:val="22"/>
        </w:rPr>
        <w:t>I</w:t>
      </w:r>
      <w:r w:rsidRPr="001A1734">
        <w:rPr>
          <w:szCs w:val="22"/>
        </w:rPr>
        <w:t>n accordance with 24-109-102</w:t>
      </w:r>
      <w:r>
        <w:rPr>
          <w:szCs w:val="22"/>
        </w:rPr>
        <w:t xml:space="preserve"> CRS</w:t>
      </w:r>
      <w:r w:rsidRPr="001A1734">
        <w:rPr>
          <w:szCs w:val="22"/>
        </w:rPr>
        <w:t>, protest</w:t>
      </w:r>
      <w:r>
        <w:rPr>
          <w:szCs w:val="22"/>
        </w:rPr>
        <w:t xml:space="preserve">s, if any, </w:t>
      </w:r>
      <w:r w:rsidRPr="001A1734">
        <w:rPr>
          <w:szCs w:val="22"/>
        </w:rPr>
        <w:t>must be submitted in writing within seven working days after contract award.  Pursuant to 24-109-104</w:t>
      </w:r>
      <w:r>
        <w:rPr>
          <w:szCs w:val="22"/>
        </w:rPr>
        <w:t xml:space="preserve"> CRS</w:t>
      </w:r>
      <w:r w:rsidRPr="001A1734">
        <w:rPr>
          <w:szCs w:val="22"/>
        </w:rPr>
        <w:t>, if a protest is sustained and the protesting bidder should have been awarded the contract and was not, the protestor shall be entitled to</w:t>
      </w:r>
      <w:r>
        <w:rPr>
          <w:szCs w:val="22"/>
        </w:rPr>
        <w:t xml:space="preserve"> recover </w:t>
      </w:r>
      <w:r w:rsidRPr="001A1734">
        <w:rPr>
          <w:szCs w:val="22"/>
        </w:rPr>
        <w:t xml:space="preserve">only the reasonable costs incurred in connection with the solicitation, including bid preparation costs.  </w:t>
      </w:r>
      <w:r>
        <w:rPr>
          <w:szCs w:val="22"/>
        </w:rPr>
        <w:t>Reasonable costs shall not include attorney fees.  The protestor shall not be entitled to recover any other costs.</w:t>
      </w:r>
    </w:p>
    <w:p w:rsidR="001D68B3" w:rsidRPr="001A1734" w:rsidRDefault="001D68B3">
      <w:pPr>
        <w:widowControl w:val="0"/>
        <w:tabs>
          <w:tab w:val="left" w:pos="-144"/>
          <w:tab w:val="left" w:pos="7176"/>
          <w:tab w:val="right" w:pos="9456"/>
        </w:tabs>
        <w:spacing w:line="240" w:lineRule="atLeast"/>
        <w:rPr>
          <w:sz w:val="22"/>
          <w:szCs w:val="22"/>
        </w:rPr>
      </w:pPr>
    </w:p>
    <w:p w:rsidR="001D68B3" w:rsidRDefault="001D68B3" w:rsidP="00F423D2">
      <w:pPr>
        <w:pStyle w:val="Header"/>
        <w:tabs>
          <w:tab w:val="clear" w:pos="4320"/>
          <w:tab w:val="clear" w:pos="8640"/>
        </w:tabs>
        <w:rPr>
          <w:sz w:val="22"/>
          <w:szCs w:val="22"/>
        </w:rPr>
      </w:pPr>
      <w:r>
        <w:rPr>
          <w:color w:val="800000"/>
          <w:sz w:val="22"/>
          <w:szCs w:val="22"/>
        </w:rPr>
        <w:br w:type="page"/>
      </w:r>
      <w:proofErr w:type="spellStart"/>
      <w:proofErr w:type="gramStart"/>
      <w:r>
        <w:rPr>
          <w:sz w:val="22"/>
          <w:szCs w:val="22"/>
        </w:rPr>
        <w:lastRenderedPageBreak/>
        <w:t>m</w:t>
      </w:r>
      <w:r w:rsidRPr="001A1734">
        <w:rPr>
          <w:sz w:val="22"/>
          <w:szCs w:val="22"/>
        </w:rPr>
        <w:t>bs</w:t>
      </w:r>
      <w:proofErr w:type="spellEnd"/>
      <w:proofErr w:type="gramEnd"/>
    </w:p>
    <w:p w:rsidR="001D68B3" w:rsidRPr="001A1734" w:rsidRDefault="001D68B3" w:rsidP="00F423D2">
      <w:pPr>
        <w:pStyle w:val="Header"/>
        <w:tabs>
          <w:tab w:val="clear" w:pos="4320"/>
          <w:tab w:val="clear" w:pos="8640"/>
        </w:tabs>
        <w:rPr>
          <w:sz w:val="22"/>
          <w:szCs w:val="22"/>
        </w:rPr>
      </w:pPr>
      <w:r>
        <w:rPr>
          <w:sz w:val="22"/>
          <w:szCs w:val="22"/>
        </w:rPr>
        <w:t>Page 2 of 2</w:t>
      </w:r>
    </w:p>
    <w:p w:rsidR="001D68B3" w:rsidRPr="001A1734" w:rsidRDefault="00BD1D0A" w:rsidP="00F423D2">
      <w:pPr>
        <w:pStyle w:val="Header"/>
        <w:tabs>
          <w:tab w:val="clear" w:pos="4320"/>
          <w:tab w:val="clear" w:pos="8640"/>
        </w:tabs>
        <w:rPr>
          <w:sz w:val="22"/>
          <w:szCs w:val="22"/>
        </w:rPr>
      </w:pPr>
      <w:r>
        <w:rPr>
          <w:sz w:val="22"/>
          <w:szCs w:val="22"/>
        </w:rPr>
        <w:t>07-03-08</w:t>
      </w:r>
    </w:p>
    <w:p w:rsidR="001D68B3" w:rsidRPr="001A1734" w:rsidRDefault="001D68B3" w:rsidP="00BB7D15">
      <w:pPr>
        <w:widowControl w:val="0"/>
        <w:spacing w:line="228" w:lineRule="auto"/>
        <w:rPr>
          <w:color w:val="800000"/>
          <w:sz w:val="22"/>
          <w:szCs w:val="22"/>
        </w:rPr>
      </w:pPr>
      <w:r w:rsidRPr="001A1734">
        <w:rPr>
          <w:color w:val="800000"/>
          <w:sz w:val="22"/>
          <w:szCs w:val="22"/>
        </w:rPr>
        <w:t>*******************************************************************************************</w:t>
      </w:r>
    </w:p>
    <w:p w:rsidR="001D68B3" w:rsidRPr="001D30F1" w:rsidRDefault="001D68B3" w:rsidP="00BB7D15">
      <w:pPr>
        <w:widowControl w:val="0"/>
        <w:spacing w:line="228" w:lineRule="auto"/>
        <w:rPr>
          <w:color w:val="800000"/>
          <w:sz w:val="22"/>
          <w:szCs w:val="22"/>
        </w:rPr>
      </w:pPr>
      <w:r w:rsidRPr="001D30F1">
        <w:rPr>
          <w:b/>
          <w:color w:val="800000"/>
          <w:sz w:val="22"/>
          <w:szCs w:val="22"/>
        </w:rPr>
        <w:t>INSTRUCTIONS</w:t>
      </w:r>
      <w:r w:rsidRPr="001D30F1">
        <w:rPr>
          <w:color w:val="800000"/>
          <w:sz w:val="22"/>
          <w:szCs w:val="22"/>
        </w:rPr>
        <w:t xml:space="preserve"> </w:t>
      </w:r>
      <w:r w:rsidRPr="001D30F1">
        <w:rPr>
          <w:b/>
          <w:color w:val="800000"/>
          <w:sz w:val="22"/>
          <w:szCs w:val="22"/>
        </w:rPr>
        <w:t>TO</w:t>
      </w:r>
      <w:r w:rsidRPr="001D30F1">
        <w:rPr>
          <w:color w:val="800000"/>
          <w:sz w:val="22"/>
          <w:szCs w:val="22"/>
        </w:rPr>
        <w:t xml:space="preserve"> </w:t>
      </w:r>
      <w:r w:rsidRPr="001D30F1">
        <w:rPr>
          <w:b/>
          <w:color w:val="800000"/>
          <w:sz w:val="22"/>
          <w:szCs w:val="22"/>
        </w:rPr>
        <w:t>DESIGNERS</w:t>
      </w:r>
      <w:r w:rsidRPr="001D30F1">
        <w:rPr>
          <w:color w:val="800000"/>
          <w:sz w:val="22"/>
          <w:szCs w:val="22"/>
        </w:rPr>
        <w:t xml:space="preserve"> (delete instructions and symbols from final draft):</w:t>
      </w:r>
    </w:p>
    <w:p w:rsidR="001D68B3" w:rsidRPr="001D30F1" w:rsidRDefault="001D68B3"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rPr>
          <w:color w:val="800000"/>
          <w:sz w:val="22"/>
          <w:szCs w:val="22"/>
        </w:rPr>
      </w:pPr>
      <w:r w:rsidRPr="001D30F1">
        <w:rPr>
          <w:color w:val="800000"/>
          <w:sz w:val="22"/>
          <w:szCs w:val="22"/>
        </w:rPr>
        <w:t>The Designer should coordinate with Region Maintenance regarding project limits and possible overlapping maintenance work when this special provision is included in the project.</w:t>
      </w:r>
    </w:p>
    <w:p w:rsidR="001D68B3" w:rsidRPr="001D30F1" w:rsidRDefault="001D68B3"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rPr>
          <w:color w:val="800000"/>
          <w:sz w:val="22"/>
          <w:szCs w:val="22"/>
        </w:rPr>
      </w:pPr>
      <w:r w:rsidRPr="001D30F1">
        <w:rPr>
          <w:color w:val="800000"/>
          <w:sz w:val="22"/>
          <w:szCs w:val="22"/>
        </w:rPr>
        <w:t>Use this special provision along with one of the three versions of the Commencement and Completion of Work project special provision worksheets for Multiple Bid Schedules.</w:t>
      </w:r>
    </w:p>
    <w:p w:rsidR="001D68B3" w:rsidRPr="001D30F1" w:rsidRDefault="001D68B3" w:rsidP="00BB7D15">
      <w:pPr>
        <w:pStyle w:val="tableofcontents"/>
        <w:tabs>
          <w:tab w:val="clear" w:pos="7200"/>
          <w:tab w:val="clear" w:pos="9360"/>
          <w:tab w:val="left" w:pos="-144"/>
          <w:tab w:val="left" w:pos="7176"/>
          <w:tab w:val="right" w:pos="9456"/>
        </w:tabs>
        <w:spacing w:line="228" w:lineRule="auto"/>
        <w:rPr>
          <w:color w:val="800000"/>
          <w:szCs w:val="22"/>
        </w:rPr>
      </w:pPr>
    </w:p>
    <w:p w:rsidR="006F2EF1" w:rsidRPr="001D30F1" w:rsidRDefault="001D68B3" w:rsidP="00BB7D15">
      <w:pPr>
        <w:widowControl w:val="0"/>
        <w:tabs>
          <w:tab w:val="left" w:pos="-144"/>
          <w:tab w:val="left" w:pos="7176"/>
          <w:tab w:val="right" w:pos="9456"/>
        </w:tabs>
        <w:spacing w:line="228" w:lineRule="auto"/>
        <w:rPr>
          <w:color w:val="800000"/>
          <w:sz w:val="22"/>
          <w:szCs w:val="22"/>
        </w:rPr>
      </w:pPr>
      <w:r w:rsidRPr="001D30F1">
        <w:rPr>
          <w:color w:val="800000"/>
          <w:sz w:val="22"/>
          <w:szCs w:val="22"/>
        </w:rPr>
        <w:t>♦</w:t>
      </w:r>
      <w:r w:rsidRPr="001D30F1">
        <w:rPr>
          <w:color w:val="800000"/>
          <w:sz w:val="22"/>
          <w:szCs w:val="22"/>
          <w:vertAlign w:val="superscript"/>
        </w:rPr>
        <w:t xml:space="preserve"> </w:t>
      </w:r>
      <w:r w:rsidRPr="001D30F1">
        <w:rPr>
          <w:color w:val="800000"/>
          <w:sz w:val="22"/>
          <w:szCs w:val="22"/>
        </w:rPr>
        <w:t>Insert the actual number of schedules in the first paragraph.  Typically there are two schedules, sometimes three.  The wording of this special provision assumes there are two schedules, and Schedule A is the largest schedule.</w:t>
      </w:r>
      <w:r w:rsidR="00AE69A5" w:rsidRPr="001D30F1">
        <w:rPr>
          <w:color w:val="800000"/>
          <w:sz w:val="22"/>
          <w:szCs w:val="22"/>
        </w:rPr>
        <w:t xml:space="preserve">  If there are only two schedules, delete the listing for Schedule C.</w:t>
      </w:r>
      <w:r w:rsidRPr="001D30F1">
        <w:rPr>
          <w:color w:val="800000"/>
          <w:sz w:val="22"/>
          <w:szCs w:val="22"/>
        </w:rPr>
        <w:t xml:space="preserve">  If a third schedule is added, the </w:t>
      </w:r>
      <w:r w:rsidR="006F2EF1" w:rsidRPr="001D30F1">
        <w:rPr>
          <w:color w:val="800000"/>
          <w:sz w:val="22"/>
          <w:szCs w:val="22"/>
        </w:rPr>
        <w:t xml:space="preserve">wording for the </w:t>
      </w:r>
      <w:r w:rsidRPr="001D30F1">
        <w:rPr>
          <w:color w:val="800000"/>
          <w:sz w:val="22"/>
          <w:szCs w:val="22"/>
        </w:rPr>
        <w:t xml:space="preserve">bid opening process should be </w:t>
      </w:r>
      <w:r w:rsidR="006F2EF1" w:rsidRPr="001D30F1">
        <w:rPr>
          <w:color w:val="800000"/>
          <w:sz w:val="22"/>
          <w:szCs w:val="22"/>
        </w:rPr>
        <w:t>replaced with the following:</w:t>
      </w:r>
    </w:p>
    <w:p w:rsidR="006F2EF1" w:rsidRPr="001D30F1" w:rsidRDefault="006F2EF1" w:rsidP="00BB7D15">
      <w:pPr>
        <w:widowControl w:val="0"/>
        <w:tabs>
          <w:tab w:val="left" w:pos="-144"/>
          <w:tab w:val="left" w:pos="7176"/>
          <w:tab w:val="right" w:pos="9456"/>
        </w:tabs>
        <w:spacing w:line="228" w:lineRule="auto"/>
        <w:rPr>
          <w:color w:val="800000"/>
          <w:sz w:val="22"/>
          <w:szCs w:val="22"/>
        </w:rPr>
      </w:pPr>
    </w:p>
    <w:p w:rsidR="006F2EF1" w:rsidRPr="001D30F1" w:rsidRDefault="006F2EF1" w:rsidP="00BB7D15">
      <w:pPr>
        <w:pStyle w:val="tableofcontents"/>
        <w:tabs>
          <w:tab w:val="clear" w:pos="7200"/>
          <w:tab w:val="clear" w:pos="9360"/>
          <w:tab w:val="left" w:pos="-144"/>
          <w:tab w:val="left" w:pos="7176"/>
          <w:tab w:val="right" w:pos="9456"/>
        </w:tabs>
        <w:spacing w:line="228" w:lineRule="auto"/>
        <w:ind w:left="180"/>
        <w:rPr>
          <w:color w:val="800000"/>
          <w:szCs w:val="22"/>
        </w:rPr>
      </w:pPr>
      <w:r w:rsidRPr="001D30F1">
        <w:rPr>
          <w:color w:val="800000"/>
          <w:szCs w:val="22"/>
        </w:rPr>
        <w:t>The bid opening process will be as follows:</w:t>
      </w:r>
    </w:p>
    <w:p w:rsidR="006F2EF1" w:rsidRPr="001D30F1" w:rsidRDefault="006F2EF1" w:rsidP="00BB7D15">
      <w:pPr>
        <w:pStyle w:val="tableofcontents"/>
        <w:tabs>
          <w:tab w:val="clear" w:pos="7200"/>
          <w:tab w:val="clear" w:pos="9360"/>
          <w:tab w:val="left" w:pos="-144"/>
          <w:tab w:val="left" w:pos="7176"/>
          <w:tab w:val="right" w:pos="9456"/>
        </w:tabs>
        <w:spacing w:line="228" w:lineRule="auto"/>
        <w:ind w:left="180"/>
        <w:rPr>
          <w:color w:val="800000"/>
          <w:szCs w:val="22"/>
        </w:rPr>
      </w:pPr>
    </w:p>
    <w:p w:rsidR="006F2EF1" w:rsidRPr="001D30F1" w:rsidRDefault="006F2EF1"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The maximum acceptable bid for the project will be announced immediately prior to the bid opening.  </w:t>
      </w:r>
    </w:p>
    <w:p w:rsidR="006F2EF1" w:rsidRPr="001D30F1" w:rsidRDefault="006F2EF1"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The total bid for </w:t>
      </w:r>
      <w:r w:rsidR="00934A56" w:rsidRPr="001D30F1">
        <w:rPr>
          <w:color w:val="800000"/>
          <w:szCs w:val="22"/>
        </w:rPr>
        <w:t>S</w:t>
      </w:r>
      <w:r w:rsidRPr="001D30F1">
        <w:rPr>
          <w:color w:val="800000"/>
          <w:szCs w:val="22"/>
        </w:rPr>
        <w:t xml:space="preserve">chedule C will be read for each bidder.  </w:t>
      </w:r>
    </w:p>
    <w:p w:rsidR="006F2EF1" w:rsidRPr="001D30F1" w:rsidRDefault="006F2EF1"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If none of the bids for </w:t>
      </w:r>
      <w:r w:rsidR="00934A56" w:rsidRPr="001D30F1">
        <w:rPr>
          <w:color w:val="800000"/>
          <w:szCs w:val="22"/>
        </w:rPr>
        <w:t>S</w:t>
      </w:r>
      <w:r w:rsidRPr="001D30F1">
        <w:rPr>
          <w:color w:val="800000"/>
          <w:szCs w:val="22"/>
        </w:rPr>
        <w:t xml:space="preserve">chedule B is at or below the maximum acceptable bid, the bids for </w:t>
      </w:r>
      <w:r w:rsidR="00934A56" w:rsidRPr="001D30F1">
        <w:rPr>
          <w:color w:val="800000"/>
          <w:szCs w:val="22"/>
        </w:rPr>
        <w:t>S</w:t>
      </w:r>
      <w:r w:rsidRPr="001D30F1">
        <w:rPr>
          <w:color w:val="800000"/>
          <w:szCs w:val="22"/>
        </w:rPr>
        <w:t xml:space="preserve">chedules A and B will not be read, and the apparent low bidder for Schedule C will be announced. </w:t>
      </w:r>
    </w:p>
    <w:p w:rsidR="006F2EF1" w:rsidRPr="001D30F1" w:rsidRDefault="006F2EF1"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If one or more of the bids for Schedule B is at or </w:t>
      </w:r>
      <w:r w:rsidR="008A1C2B" w:rsidRPr="001D30F1">
        <w:rPr>
          <w:color w:val="800000"/>
          <w:szCs w:val="22"/>
        </w:rPr>
        <w:t>below</w:t>
      </w:r>
      <w:r w:rsidRPr="001D30F1">
        <w:rPr>
          <w:color w:val="800000"/>
          <w:szCs w:val="22"/>
        </w:rPr>
        <w:t xml:space="preserve"> the maximum acceptable bid, the total bid for Schedule B will be read for each bidder.  </w:t>
      </w:r>
    </w:p>
    <w:p w:rsidR="008A1C2B" w:rsidRPr="001D30F1" w:rsidRDefault="006F2EF1"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If none of the bids for </w:t>
      </w:r>
      <w:r w:rsidR="00934A56" w:rsidRPr="001D30F1">
        <w:rPr>
          <w:color w:val="800000"/>
          <w:szCs w:val="22"/>
        </w:rPr>
        <w:t>S</w:t>
      </w:r>
      <w:r w:rsidRPr="001D30F1">
        <w:rPr>
          <w:color w:val="800000"/>
          <w:szCs w:val="22"/>
        </w:rPr>
        <w:t xml:space="preserve">chedule A is at or below the maximum acceptable bid, the bids for </w:t>
      </w:r>
      <w:r w:rsidR="00934A56" w:rsidRPr="001D30F1">
        <w:rPr>
          <w:color w:val="800000"/>
          <w:szCs w:val="22"/>
        </w:rPr>
        <w:t>S</w:t>
      </w:r>
      <w:r w:rsidRPr="001D30F1">
        <w:rPr>
          <w:color w:val="800000"/>
          <w:szCs w:val="22"/>
        </w:rPr>
        <w:t xml:space="preserve">chedule A will not be </w:t>
      </w:r>
      <w:r w:rsidR="008A1C2B" w:rsidRPr="001D30F1">
        <w:rPr>
          <w:color w:val="800000"/>
          <w:szCs w:val="22"/>
        </w:rPr>
        <w:t>read</w:t>
      </w:r>
      <w:r w:rsidRPr="001D30F1">
        <w:rPr>
          <w:color w:val="800000"/>
          <w:szCs w:val="22"/>
        </w:rPr>
        <w:t xml:space="preserve">, and the </w:t>
      </w:r>
      <w:r w:rsidR="008A1C2B" w:rsidRPr="001D30F1">
        <w:rPr>
          <w:color w:val="800000"/>
          <w:szCs w:val="22"/>
        </w:rPr>
        <w:t xml:space="preserve">apparent low bidder for </w:t>
      </w:r>
      <w:r w:rsidR="00934A56" w:rsidRPr="001D30F1">
        <w:rPr>
          <w:color w:val="800000"/>
          <w:szCs w:val="22"/>
        </w:rPr>
        <w:t>S</w:t>
      </w:r>
      <w:r w:rsidR="008A1C2B" w:rsidRPr="001D30F1">
        <w:rPr>
          <w:color w:val="800000"/>
          <w:szCs w:val="22"/>
        </w:rPr>
        <w:t>chedule B will be announced.</w:t>
      </w:r>
    </w:p>
    <w:p w:rsidR="006F2EF1" w:rsidRPr="001D30F1" w:rsidRDefault="008A1C2B"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If one or more of the bids for </w:t>
      </w:r>
      <w:r w:rsidR="00934A56" w:rsidRPr="001D30F1">
        <w:rPr>
          <w:color w:val="800000"/>
          <w:szCs w:val="22"/>
        </w:rPr>
        <w:t>S</w:t>
      </w:r>
      <w:r w:rsidRPr="001D30F1">
        <w:rPr>
          <w:color w:val="800000"/>
          <w:szCs w:val="22"/>
        </w:rPr>
        <w:t xml:space="preserve">chedule A is at or below the maximum acceptable bid, the total bid </w:t>
      </w:r>
      <w:r w:rsidR="00E2033F" w:rsidRPr="001D30F1">
        <w:rPr>
          <w:color w:val="800000"/>
          <w:szCs w:val="22"/>
        </w:rPr>
        <w:t>for Schedule</w:t>
      </w:r>
      <w:r w:rsidRPr="001D30F1">
        <w:rPr>
          <w:color w:val="800000"/>
          <w:szCs w:val="22"/>
        </w:rPr>
        <w:t xml:space="preserve"> A will be read for each bidder.</w:t>
      </w:r>
      <w:r w:rsidR="006F2EF1" w:rsidRPr="001D30F1">
        <w:rPr>
          <w:color w:val="800000"/>
          <w:szCs w:val="22"/>
        </w:rPr>
        <w:t xml:space="preserve"> </w:t>
      </w:r>
    </w:p>
    <w:p w:rsidR="006F2EF1" w:rsidRPr="001D30F1" w:rsidRDefault="006F2EF1" w:rsidP="00BB7D15">
      <w:pPr>
        <w:pStyle w:val="tableofcontents"/>
        <w:numPr>
          <w:ilvl w:val="0"/>
          <w:numId w:val="3"/>
        </w:numPr>
        <w:tabs>
          <w:tab w:val="clear" w:pos="360"/>
          <w:tab w:val="clear" w:pos="7200"/>
          <w:tab w:val="clear" w:pos="9360"/>
          <w:tab w:val="left" w:pos="-144"/>
          <w:tab w:val="num" w:pos="540"/>
          <w:tab w:val="left" w:pos="7176"/>
          <w:tab w:val="right" w:pos="9456"/>
        </w:tabs>
        <w:spacing w:line="228" w:lineRule="auto"/>
        <w:ind w:left="540"/>
        <w:rPr>
          <w:color w:val="800000"/>
          <w:szCs w:val="22"/>
        </w:rPr>
      </w:pPr>
      <w:r w:rsidRPr="001D30F1">
        <w:rPr>
          <w:color w:val="800000"/>
          <w:szCs w:val="22"/>
        </w:rPr>
        <w:t xml:space="preserve">After all Schedule </w:t>
      </w:r>
      <w:proofErr w:type="gramStart"/>
      <w:r w:rsidRPr="001D30F1">
        <w:rPr>
          <w:color w:val="800000"/>
          <w:szCs w:val="22"/>
        </w:rPr>
        <w:t>A</w:t>
      </w:r>
      <w:proofErr w:type="gramEnd"/>
      <w:r w:rsidRPr="001D30F1">
        <w:rPr>
          <w:color w:val="800000"/>
          <w:szCs w:val="22"/>
        </w:rPr>
        <w:t xml:space="preserve"> bids have been read the apparent low bidder for Schedule A will be announced.  </w:t>
      </w:r>
    </w:p>
    <w:p w:rsidR="006F2EF1" w:rsidRPr="001D30F1" w:rsidRDefault="006F2EF1"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rPr>
          <w:color w:val="800000"/>
          <w:sz w:val="22"/>
          <w:szCs w:val="22"/>
        </w:rPr>
      </w:pPr>
      <w:r w:rsidRPr="001D30F1">
        <w:rPr>
          <w:color w:val="800000"/>
          <w:sz w:val="22"/>
          <w:szCs w:val="22"/>
        </w:rPr>
        <w:t>Contact the Standards and Specifications Unit if you need assistance.</w:t>
      </w:r>
    </w:p>
    <w:p w:rsidR="001D68B3" w:rsidRPr="001D30F1" w:rsidRDefault="001D68B3"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rPr>
          <w:color w:val="800000"/>
          <w:sz w:val="22"/>
          <w:szCs w:val="22"/>
        </w:rPr>
      </w:pPr>
      <w:proofErr w:type="gramStart"/>
      <w:r w:rsidRPr="001D30F1">
        <w:rPr>
          <w:color w:val="800000"/>
          <w:sz w:val="22"/>
          <w:szCs w:val="22"/>
        </w:rPr>
        <w:t>▲Provide brief descriptions of the work, including project length.</w:t>
      </w:r>
      <w:proofErr w:type="gramEnd"/>
      <w:r w:rsidRPr="001D30F1">
        <w:rPr>
          <w:color w:val="800000"/>
          <w:sz w:val="22"/>
          <w:szCs w:val="22"/>
        </w:rPr>
        <w:t xml:space="preserve">  These descriptions need to clearly define the major differences between the </w:t>
      </w:r>
      <w:proofErr w:type="gramStart"/>
      <w:r w:rsidRPr="001D30F1">
        <w:rPr>
          <w:color w:val="800000"/>
          <w:sz w:val="22"/>
          <w:szCs w:val="22"/>
        </w:rPr>
        <w:t>work</w:t>
      </w:r>
      <w:proofErr w:type="gramEnd"/>
      <w:r w:rsidRPr="001D30F1">
        <w:rPr>
          <w:color w:val="800000"/>
          <w:sz w:val="22"/>
          <w:szCs w:val="22"/>
        </w:rPr>
        <w:t xml:space="preserve"> </w:t>
      </w:r>
      <w:r w:rsidR="00934A56" w:rsidRPr="001D30F1">
        <w:rPr>
          <w:color w:val="800000"/>
          <w:sz w:val="22"/>
          <w:szCs w:val="22"/>
        </w:rPr>
        <w:t xml:space="preserve">of each </w:t>
      </w:r>
      <w:r w:rsidRPr="001D30F1">
        <w:rPr>
          <w:color w:val="800000"/>
          <w:sz w:val="22"/>
          <w:szCs w:val="22"/>
        </w:rPr>
        <w:t>schedule. Examples:</w:t>
      </w:r>
    </w:p>
    <w:p w:rsidR="001D68B3" w:rsidRPr="001D30F1" w:rsidRDefault="001D68B3"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A: 6.0 miles resurfacing</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B: 5.5 miles resurfacing</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C: 5.0 miles resurfacing</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A: 5.0 miles resurfacing and traffic signals</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B: 4.5 miles resurfacing and traffic signals</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C: 4.5 miles resurfacing</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A: Bridge replacement, approaches, guardrail, and landscaping</w:t>
      </w:r>
    </w:p>
    <w:p w:rsidR="001D68B3" w:rsidRPr="001D30F1" w:rsidRDefault="001D68B3" w:rsidP="00BB7D15">
      <w:pPr>
        <w:widowControl w:val="0"/>
        <w:tabs>
          <w:tab w:val="left" w:pos="-144"/>
          <w:tab w:val="left" w:pos="7176"/>
          <w:tab w:val="right" w:pos="9456"/>
        </w:tabs>
        <w:spacing w:line="228" w:lineRule="auto"/>
        <w:ind w:left="720"/>
        <w:rPr>
          <w:color w:val="800000"/>
          <w:sz w:val="22"/>
          <w:szCs w:val="22"/>
        </w:rPr>
      </w:pPr>
      <w:r w:rsidRPr="001D30F1">
        <w:rPr>
          <w:color w:val="800000"/>
          <w:sz w:val="22"/>
          <w:szCs w:val="22"/>
        </w:rPr>
        <w:t>Schedule B: Bridge replacement, approaches, and guardrail</w:t>
      </w:r>
    </w:p>
    <w:p w:rsidR="001D68B3" w:rsidRPr="001D30F1" w:rsidRDefault="001D68B3"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rPr>
          <w:color w:val="800000"/>
          <w:sz w:val="22"/>
          <w:szCs w:val="22"/>
        </w:rPr>
      </w:pPr>
      <w:r w:rsidRPr="001D30F1">
        <w:rPr>
          <w:color w:val="800000"/>
          <w:sz w:val="22"/>
          <w:szCs w:val="22"/>
        </w:rPr>
        <w:t>♥</w:t>
      </w:r>
      <w:r w:rsidRPr="001D30F1">
        <w:rPr>
          <w:color w:val="800000"/>
          <w:sz w:val="22"/>
          <w:szCs w:val="22"/>
          <w:vertAlign w:val="superscript"/>
        </w:rPr>
        <w:t xml:space="preserve"> </w:t>
      </w:r>
      <w:r w:rsidRPr="001D30F1">
        <w:rPr>
          <w:color w:val="800000"/>
          <w:sz w:val="22"/>
          <w:szCs w:val="22"/>
        </w:rPr>
        <w:t xml:space="preserve">110 percent is the value used in the “Guidelines for Avoiding Project Extensions by Using Multiple Bid Schedules”.  Other values may be used based on the Designer’s discretion and RTD Approval.  In cases where the Project Budget is a Commission Approved Budget, the percentage shall be 115 percent </w:t>
      </w:r>
      <w:r w:rsidR="000D15D8" w:rsidRPr="001D30F1">
        <w:rPr>
          <w:color w:val="800000"/>
          <w:sz w:val="22"/>
          <w:szCs w:val="22"/>
        </w:rPr>
        <w:t xml:space="preserve">or less </w:t>
      </w:r>
      <w:r w:rsidRPr="001D30F1">
        <w:rPr>
          <w:color w:val="800000"/>
          <w:sz w:val="22"/>
          <w:szCs w:val="22"/>
        </w:rPr>
        <w:t>of the Approved Commission Budget.</w:t>
      </w:r>
    </w:p>
    <w:p w:rsidR="001D68B3" w:rsidRPr="001D30F1" w:rsidRDefault="001D68B3" w:rsidP="00BB7D15">
      <w:pPr>
        <w:widowControl w:val="0"/>
        <w:tabs>
          <w:tab w:val="left" w:pos="-144"/>
          <w:tab w:val="left" w:pos="7176"/>
          <w:tab w:val="right" w:pos="9456"/>
        </w:tabs>
        <w:spacing w:line="228" w:lineRule="auto"/>
        <w:rPr>
          <w:color w:val="800000"/>
          <w:sz w:val="22"/>
          <w:szCs w:val="22"/>
        </w:rPr>
      </w:pPr>
    </w:p>
    <w:p w:rsidR="001D68B3" w:rsidRPr="001D30F1" w:rsidRDefault="001D68B3" w:rsidP="00BB7D15">
      <w:pPr>
        <w:widowControl w:val="0"/>
        <w:tabs>
          <w:tab w:val="left" w:pos="-144"/>
          <w:tab w:val="left" w:pos="7176"/>
          <w:tab w:val="right" w:pos="9456"/>
        </w:tabs>
        <w:spacing w:line="228" w:lineRule="auto"/>
        <w:rPr>
          <w:color w:val="800000"/>
          <w:sz w:val="22"/>
          <w:szCs w:val="22"/>
        </w:rPr>
      </w:pPr>
      <w:r w:rsidRPr="001D30F1">
        <w:rPr>
          <w:color w:val="800000"/>
          <w:sz w:val="22"/>
          <w:szCs w:val="22"/>
        </w:rPr>
        <w:t>♣</w:t>
      </w:r>
      <w:r w:rsidRPr="001D30F1">
        <w:rPr>
          <w:color w:val="800000"/>
          <w:sz w:val="22"/>
          <w:szCs w:val="22"/>
          <w:vertAlign w:val="superscript"/>
        </w:rPr>
        <w:t xml:space="preserve"> </w:t>
      </w:r>
      <w:r w:rsidRPr="001D30F1">
        <w:rPr>
          <w:color w:val="800000"/>
          <w:sz w:val="22"/>
          <w:szCs w:val="22"/>
        </w:rPr>
        <w:t>Use the smallest schedule (Schedule B when there are two schedules, or Schedule C when there are three schedules).</w:t>
      </w:r>
    </w:p>
    <w:sectPr w:rsidR="001D68B3" w:rsidRPr="001D30F1" w:rsidSect="001D30F1">
      <w:footerReference w:type="default" r:id="rId8"/>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A63" w:rsidRDefault="00F71A63">
      <w:r>
        <w:separator/>
      </w:r>
    </w:p>
  </w:endnote>
  <w:endnote w:type="continuationSeparator" w:id="0">
    <w:p w:rsidR="00F71A63" w:rsidRDefault="00F7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8CC" w:rsidRDefault="003128CC">
    <w:pPr>
      <w:pStyle w:val="Footer"/>
      <w:jc w:val="center"/>
    </w:pPr>
  </w:p>
  <w:p w:rsidR="003128CC" w:rsidRDefault="003128CC">
    <w:pPr>
      <w:pStyle w:val="Footer"/>
      <w:jc w:val="center"/>
    </w:pPr>
  </w:p>
  <w:p w:rsidR="003128CC" w:rsidRDefault="003128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A63" w:rsidRDefault="00F71A63">
      <w:r>
        <w:separator/>
      </w:r>
    </w:p>
  </w:footnote>
  <w:footnote w:type="continuationSeparator" w:id="0">
    <w:p w:rsidR="00F71A63" w:rsidRDefault="00F71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700"/>
    <w:multiLevelType w:val="hybridMultilevel"/>
    <w:tmpl w:val="06681E6C"/>
    <w:lvl w:ilvl="0" w:tplc="4FB6859E">
      <w:start w:val="1"/>
      <w:numFmt w:val="decimal"/>
      <w:lvlText w:val="(%1)"/>
      <w:lvlJc w:val="left"/>
      <w:pPr>
        <w:tabs>
          <w:tab w:val="num" w:pos="360"/>
        </w:tabs>
        <w:ind w:left="360" w:hanging="36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A95211"/>
    <w:multiLevelType w:val="hybridMultilevel"/>
    <w:tmpl w:val="51408888"/>
    <w:lvl w:ilvl="0" w:tplc="4FB6859E">
      <w:start w:val="1"/>
      <w:numFmt w:val="decimal"/>
      <w:lvlText w:val="(%1)"/>
      <w:lvlJc w:val="left"/>
      <w:pPr>
        <w:tabs>
          <w:tab w:val="num" w:pos="360"/>
        </w:tabs>
        <w:ind w:left="36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58BD2380"/>
    <w:multiLevelType w:val="multilevel"/>
    <w:tmpl w:val="5140888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34"/>
    <w:rsid w:val="00011F4C"/>
    <w:rsid w:val="00023A77"/>
    <w:rsid w:val="00047915"/>
    <w:rsid w:val="00047BE0"/>
    <w:rsid w:val="0005160C"/>
    <w:rsid w:val="00083C36"/>
    <w:rsid w:val="00084146"/>
    <w:rsid w:val="000A6C87"/>
    <w:rsid w:val="000D15D8"/>
    <w:rsid w:val="00183425"/>
    <w:rsid w:val="001A1734"/>
    <w:rsid w:val="001A651C"/>
    <w:rsid w:val="001B2568"/>
    <w:rsid w:val="001D30F1"/>
    <w:rsid w:val="001D68B3"/>
    <w:rsid w:val="00203B5D"/>
    <w:rsid w:val="00223ED3"/>
    <w:rsid w:val="003128CC"/>
    <w:rsid w:val="003244A8"/>
    <w:rsid w:val="00344EFF"/>
    <w:rsid w:val="00363358"/>
    <w:rsid w:val="003D03B6"/>
    <w:rsid w:val="00443722"/>
    <w:rsid w:val="00451FF8"/>
    <w:rsid w:val="005002C8"/>
    <w:rsid w:val="005103F6"/>
    <w:rsid w:val="00515C5B"/>
    <w:rsid w:val="005420C1"/>
    <w:rsid w:val="00544AFC"/>
    <w:rsid w:val="00551387"/>
    <w:rsid w:val="00574B7D"/>
    <w:rsid w:val="005F4B50"/>
    <w:rsid w:val="00645D95"/>
    <w:rsid w:val="006F2EF1"/>
    <w:rsid w:val="00744B83"/>
    <w:rsid w:val="007555EC"/>
    <w:rsid w:val="007A1ABC"/>
    <w:rsid w:val="007B2A3B"/>
    <w:rsid w:val="007C0EE4"/>
    <w:rsid w:val="00831388"/>
    <w:rsid w:val="008A1C2B"/>
    <w:rsid w:val="008A299F"/>
    <w:rsid w:val="008C4469"/>
    <w:rsid w:val="0090055B"/>
    <w:rsid w:val="009224BF"/>
    <w:rsid w:val="00934A56"/>
    <w:rsid w:val="00946AF8"/>
    <w:rsid w:val="00A02823"/>
    <w:rsid w:val="00A6391C"/>
    <w:rsid w:val="00AE2575"/>
    <w:rsid w:val="00AE69A5"/>
    <w:rsid w:val="00B24FD7"/>
    <w:rsid w:val="00B953F0"/>
    <w:rsid w:val="00BB68DD"/>
    <w:rsid w:val="00BB7D15"/>
    <w:rsid w:val="00BC6CC5"/>
    <w:rsid w:val="00BD1D0A"/>
    <w:rsid w:val="00BF71AB"/>
    <w:rsid w:val="00C0416B"/>
    <w:rsid w:val="00C21209"/>
    <w:rsid w:val="00C37EDA"/>
    <w:rsid w:val="00C72E57"/>
    <w:rsid w:val="00CD044E"/>
    <w:rsid w:val="00CF4BD4"/>
    <w:rsid w:val="00D033D3"/>
    <w:rsid w:val="00DB14E8"/>
    <w:rsid w:val="00E2033F"/>
    <w:rsid w:val="00E76AC8"/>
    <w:rsid w:val="00EA17BA"/>
    <w:rsid w:val="00EC0892"/>
    <w:rsid w:val="00EC2B33"/>
    <w:rsid w:val="00EF5606"/>
    <w:rsid w:val="00F423D2"/>
    <w:rsid w:val="00F71A63"/>
    <w:rsid w:val="00F87778"/>
    <w:rsid w:val="00FD4D66"/>
    <w:rsid w:val="00FF4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4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14E8"/>
    <w:pPr>
      <w:tabs>
        <w:tab w:val="center" w:pos="4320"/>
        <w:tab w:val="right" w:pos="8640"/>
      </w:tabs>
    </w:pPr>
  </w:style>
  <w:style w:type="character" w:customStyle="1" w:styleId="HeaderChar">
    <w:name w:val="Header Char"/>
    <w:basedOn w:val="DefaultParagraphFont"/>
    <w:link w:val="Header"/>
    <w:semiHidden/>
    <w:locked/>
    <w:rsid w:val="00831388"/>
    <w:rPr>
      <w:rFonts w:cs="Times New Roman"/>
      <w:sz w:val="24"/>
      <w:szCs w:val="24"/>
    </w:rPr>
  </w:style>
  <w:style w:type="paragraph" w:styleId="Footer">
    <w:name w:val="footer"/>
    <w:basedOn w:val="Normal"/>
    <w:link w:val="FooterChar"/>
    <w:rsid w:val="00DB14E8"/>
    <w:pPr>
      <w:tabs>
        <w:tab w:val="center" w:pos="4320"/>
        <w:tab w:val="right" w:pos="8640"/>
      </w:tabs>
    </w:pPr>
  </w:style>
  <w:style w:type="character" w:customStyle="1" w:styleId="FooterChar">
    <w:name w:val="Footer Char"/>
    <w:basedOn w:val="DefaultParagraphFont"/>
    <w:link w:val="Footer"/>
    <w:semiHidden/>
    <w:locked/>
    <w:rsid w:val="00831388"/>
    <w:rPr>
      <w:rFonts w:cs="Times New Roman"/>
      <w:sz w:val="24"/>
      <w:szCs w:val="24"/>
    </w:rPr>
  </w:style>
  <w:style w:type="paragraph" w:customStyle="1" w:styleId="specheader">
    <w:name w:val="spec header"/>
    <w:basedOn w:val="Header"/>
    <w:autoRedefine/>
    <w:rsid w:val="00DB14E8"/>
    <w:pPr>
      <w:tabs>
        <w:tab w:val="clear" w:pos="4320"/>
        <w:tab w:val="clear" w:pos="8640"/>
      </w:tabs>
      <w:jc w:val="center"/>
    </w:pPr>
    <w:rPr>
      <w:b/>
      <w:bCs/>
      <w:caps/>
      <w:sz w:val="22"/>
    </w:rPr>
  </w:style>
  <w:style w:type="paragraph" w:styleId="BodyText">
    <w:name w:val="Body Text"/>
    <w:basedOn w:val="Normal"/>
    <w:link w:val="BodyTextChar"/>
    <w:rsid w:val="00DB14E8"/>
    <w:pPr>
      <w:tabs>
        <w:tab w:val="left" w:pos="2160"/>
      </w:tabs>
    </w:pPr>
    <w:rPr>
      <w:i/>
      <w:iCs/>
    </w:rPr>
  </w:style>
  <w:style w:type="character" w:customStyle="1" w:styleId="BodyTextChar">
    <w:name w:val="Body Text Char"/>
    <w:basedOn w:val="DefaultParagraphFont"/>
    <w:link w:val="BodyText"/>
    <w:semiHidden/>
    <w:locked/>
    <w:rsid w:val="00831388"/>
    <w:rPr>
      <w:rFonts w:cs="Times New Roman"/>
      <w:sz w:val="24"/>
      <w:szCs w:val="24"/>
    </w:rPr>
  </w:style>
  <w:style w:type="paragraph" w:customStyle="1" w:styleId="tableofcontents">
    <w:name w:val="table of contents"/>
    <w:basedOn w:val="BodyText"/>
    <w:rsid w:val="00DB14E8"/>
    <w:pPr>
      <w:widowControl w:val="0"/>
      <w:tabs>
        <w:tab w:val="clear" w:pos="2160"/>
        <w:tab w:val="left" w:pos="7200"/>
        <w:tab w:val="left" w:pos="9360"/>
      </w:tabs>
      <w:spacing w:line="240" w:lineRule="atLeast"/>
    </w:pPr>
    <w:rPr>
      <w:i w:val="0"/>
      <w:iCs w:val="0"/>
      <w:sz w:val="22"/>
      <w:szCs w:val="20"/>
    </w:rPr>
  </w:style>
  <w:style w:type="character" w:styleId="CommentReference">
    <w:name w:val="annotation reference"/>
    <w:basedOn w:val="DefaultParagraphFont"/>
    <w:semiHidden/>
    <w:rsid w:val="00DB14E8"/>
    <w:rPr>
      <w:rFonts w:cs="Times New Roman"/>
      <w:sz w:val="16"/>
      <w:szCs w:val="16"/>
    </w:rPr>
  </w:style>
  <w:style w:type="paragraph" w:styleId="CommentText">
    <w:name w:val="annotation text"/>
    <w:basedOn w:val="Normal"/>
    <w:link w:val="CommentTextChar"/>
    <w:semiHidden/>
    <w:rsid w:val="00DB14E8"/>
    <w:rPr>
      <w:sz w:val="20"/>
      <w:szCs w:val="20"/>
    </w:rPr>
  </w:style>
  <w:style w:type="character" w:customStyle="1" w:styleId="CommentTextChar">
    <w:name w:val="Comment Text Char"/>
    <w:basedOn w:val="DefaultParagraphFont"/>
    <w:link w:val="CommentText"/>
    <w:semiHidden/>
    <w:locked/>
    <w:rsid w:val="00831388"/>
    <w:rPr>
      <w:rFonts w:cs="Times New Roman"/>
    </w:rPr>
  </w:style>
  <w:style w:type="paragraph" w:styleId="BodyTextIndent2">
    <w:name w:val="Body Text Indent 2"/>
    <w:basedOn w:val="Normal"/>
    <w:link w:val="BodyTextIndent2Char"/>
    <w:rsid w:val="00DB14E8"/>
    <w:pPr>
      <w:ind w:left="720"/>
    </w:pPr>
  </w:style>
  <w:style w:type="character" w:customStyle="1" w:styleId="BodyTextIndent2Char">
    <w:name w:val="Body Text Indent 2 Char"/>
    <w:basedOn w:val="DefaultParagraphFont"/>
    <w:link w:val="BodyTextIndent2"/>
    <w:semiHidden/>
    <w:locked/>
    <w:rsid w:val="00831388"/>
    <w:rPr>
      <w:rFonts w:cs="Times New Roman"/>
      <w:sz w:val="24"/>
      <w:szCs w:val="24"/>
    </w:rPr>
  </w:style>
  <w:style w:type="paragraph" w:styleId="Title">
    <w:name w:val="Title"/>
    <w:basedOn w:val="Normal"/>
    <w:link w:val="TitleChar"/>
    <w:qFormat/>
    <w:rsid w:val="00DB14E8"/>
    <w:pPr>
      <w:jc w:val="center"/>
    </w:pPr>
    <w:rPr>
      <w:sz w:val="32"/>
    </w:rPr>
  </w:style>
  <w:style w:type="character" w:customStyle="1" w:styleId="TitleChar">
    <w:name w:val="Title Char"/>
    <w:basedOn w:val="DefaultParagraphFont"/>
    <w:link w:val="Title"/>
    <w:locked/>
    <w:rsid w:val="00831388"/>
    <w:rPr>
      <w:rFonts w:ascii="Cambria" w:hAnsi="Cambria" w:cs="Times New Roman"/>
      <w:b/>
      <w:bCs/>
      <w:kern w:val="28"/>
      <w:sz w:val="32"/>
      <w:szCs w:val="32"/>
    </w:rPr>
  </w:style>
  <w:style w:type="paragraph" w:styleId="BalloonText">
    <w:name w:val="Balloon Text"/>
    <w:basedOn w:val="Normal"/>
    <w:link w:val="BalloonTextChar"/>
    <w:semiHidden/>
    <w:rsid w:val="00B953F0"/>
    <w:rPr>
      <w:rFonts w:ascii="Tahoma" w:hAnsi="Tahoma" w:cs="Tahoma"/>
      <w:sz w:val="16"/>
      <w:szCs w:val="16"/>
    </w:rPr>
  </w:style>
  <w:style w:type="character" w:customStyle="1" w:styleId="BalloonTextChar">
    <w:name w:val="Balloon Text Char"/>
    <w:basedOn w:val="DefaultParagraphFont"/>
    <w:link w:val="BalloonText"/>
    <w:semiHidden/>
    <w:locked/>
    <w:rsid w:val="00831388"/>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4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14E8"/>
    <w:pPr>
      <w:tabs>
        <w:tab w:val="center" w:pos="4320"/>
        <w:tab w:val="right" w:pos="8640"/>
      </w:tabs>
    </w:pPr>
  </w:style>
  <w:style w:type="character" w:customStyle="1" w:styleId="HeaderChar">
    <w:name w:val="Header Char"/>
    <w:basedOn w:val="DefaultParagraphFont"/>
    <w:link w:val="Header"/>
    <w:semiHidden/>
    <w:locked/>
    <w:rsid w:val="00831388"/>
    <w:rPr>
      <w:rFonts w:cs="Times New Roman"/>
      <w:sz w:val="24"/>
      <w:szCs w:val="24"/>
    </w:rPr>
  </w:style>
  <w:style w:type="paragraph" w:styleId="Footer">
    <w:name w:val="footer"/>
    <w:basedOn w:val="Normal"/>
    <w:link w:val="FooterChar"/>
    <w:rsid w:val="00DB14E8"/>
    <w:pPr>
      <w:tabs>
        <w:tab w:val="center" w:pos="4320"/>
        <w:tab w:val="right" w:pos="8640"/>
      </w:tabs>
    </w:pPr>
  </w:style>
  <w:style w:type="character" w:customStyle="1" w:styleId="FooterChar">
    <w:name w:val="Footer Char"/>
    <w:basedOn w:val="DefaultParagraphFont"/>
    <w:link w:val="Footer"/>
    <w:semiHidden/>
    <w:locked/>
    <w:rsid w:val="00831388"/>
    <w:rPr>
      <w:rFonts w:cs="Times New Roman"/>
      <w:sz w:val="24"/>
      <w:szCs w:val="24"/>
    </w:rPr>
  </w:style>
  <w:style w:type="paragraph" w:customStyle="1" w:styleId="specheader">
    <w:name w:val="spec header"/>
    <w:basedOn w:val="Header"/>
    <w:autoRedefine/>
    <w:rsid w:val="00DB14E8"/>
    <w:pPr>
      <w:tabs>
        <w:tab w:val="clear" w:pos="4320"/>
        <w:tab w:val="clear" w:pos="8640"/>
      </w:tabs>
      <w:jc w:val="center"/>
    </w:pPr>
    <w:rPr>
      <w:b/>
      <w:bCs/>
      <w:caps/>
      <w:sz w:val="22"/>
    </w:rPr>
  </w:style>
  <w:style w:type="paragraph" w:styleId="BodyText">
    <w:name w:val="Body Text"/>
    <w:basedOn w:val="Normal"/>
    <w:link w:val="BodyTextChar"/>
    <w:rsid w:val="00DB14E8"/>
    <w:pPr>
      <w:tabs>
        <w:tab w:val="left" w:pos="2160"/>
      </w:tabs>
    </w:pPr>
    <w:rPr>
      <w:i/>
      <w:iCs/>
    </w:rPr>
  </w:style>
  <w:style w:type="character" w:customStyle="1" w:styleId="BodyTextChar">
    <w:name w:val="Body Text Char"/>
    <w:basedOn w:val="DefaultParagraphFont"/>
    <w:link w:val="BodyText"/>
    <w:semiHidden/>
    <w:locked/>
    <w:rsid w:val="00831388"/>
    <w:rPr>
      <w:rFonts w:cs="Times New Roman"/>
      <w:sz w:val="24"/>
      <w:szCs w:val="24"/>
    </w:rPr>
  </w:style>
  <w:style w:type="paragraph" w:customStyle="1" w:styleId="tableofcontents">
    <w:name w:val="table of contents"/>
    <w:basedOn w:val="BodyText"/>
    <w:rsid w:val="00DB14E8"/>
    <w:pPr>
      <w:widowControl w:val="0"/>
      <w:tabs>
        <w:tab w:val="clear" w:pos="2160"/>
        <w:tab w:val="left" w:pos="7200"/>
        <w:tab w:val="left" w:pos="9360"/>
      </w:tabs>
      <w:spacing w:line="240" w:lineRule="atLeast"/>
    </w:pPr>
    <w:rPr>
      <w:i w:val="0"/>
      <w:iCs w:val="0"/>
      <w:sz w:val="22"/>
      <w:szCs w:val="20"/>
    </w:rPr>
  </w:style>
  <w:style w:type="character" w:styleId="CommentReference">
    <w:name w:val="annotation reference"/>
    <w:basedOn w:val="DefaultParagraphFont"/>
    <w:semiHidden/>
    <w:rsid w:val="00DB14E8"/>
    <w:rPr>
      <w:rFonts w:cs="Times New Roman"/>
      <w:sz w:val="16"/>
      <w:szCs w:val="16"/>
    </w:rPr>
  </w:style>
  <w:style w:type="paragraph" w:styleId="CommentText">
    <w:name w:val="annotation text"/>
    <w:basedOn w:val="Normal"/>
    <w:link w:val="CommentTextChar"/>
    <w:semiHidden/>
    <w:rsid w:val="00DB14E8"/>
    <w:rPr>
      <w:sz w:val="20"/>
      <w:szCs w:val="20"/>
    </w:rPr>
  </w:style>
  <w:style w:type="character" w:customStyle="1" w:styleId="CommentTextChar">
    <w:name w:val="Comment Text Char"/>
    <w:basedOn w:val="DefaultParagraphFont"/>
    <w:link w:val="CommentText"/>
    <w:semiHidden/>
    <w:locked/>
    <w:rsid w:val="00831388"/>
    <w:rPr>
      <w:rFonts w:cs="Times New Roman"/>
    </w:rPr>
  </w:style>
  <w:style w:type="paragraph" w:styleId="BodyTextIndent2">
    <w:name w:val="Body Text Indent 2"/>
    <w:basedOn w:val="Normal"/>
    <w:link w:val="BodyTextIndent2Char"/>
    <w:rsid w:val="00DB14E8"/>
    <w:pPr>
      <w:ind w:left="720"/>
    </w:pPr>
  </w:style>
  <w:style w:type="character" w:customStyle="1" w:styleId="BodyTextIndent2Char">
    <w:name w:val="Body Text Indent 2 Char"/>
    <w:basedOn w:val="DefaultParagraphFont"/>
    <w:link w:val="BodyTextIndent2"/>
    <w:semiHidden/>
    <w:locked/>
    <w:rsid w:val="00831388"/>
    <w:rPr>
      <w:rFonts w:cs="Times New Roman"/>
      <w:sz w:val="24"/>
      <w:szCs w:val="24"/>
    </w:rPr>
  </w:style>
  <w:style w:type="paragraph" w:styleId="Title">
    <w:name w:val="Title"/>
    <w:basedOn w:val="Normal"/>
    <w:link w:val="TitleChar"/>
    <w:qFormat/>
    <w:rsid w:val="00DB14E8"/>
    <w:pPr>
      <w:jc w:val="center"/>
    </w:pPr>
    <w:rPr>
      <w:sz w:val="32"/>
    </w:rPr>
  </w:style>
  <w:style w:type="character" w:customStyle="1" w:styleId="TitleChar">
    <w:name w:val="Title Char"/>
    <w:basedOn w:val="DefaultParagraphFont"/>
    <w:link w:val="Title"/>
    <w:locked/>
    <w:rsid w:val="00831388"/>
    <w:rPr>
      <w:rFonts w:ascii="Cambria" w:hAnsi="Cambria" w:cs="Times New Roman"/>
      <w:b/>
      <w:bCs/>
      <w:kern w:val="28"/>
      <w:sz w:val="32"/>
      <w:szCs w:val="32"/>
    </w:rPr>
  </w:style>
  <w:style w:type="paragraph" w:styleId="BalloonText">
    <w:name w:val="Balloon Text"/>
    <w:basedOn w:val="Normal"/>
    <w:link w:val="BalloonTextChar"/>
    <w:semiHidden/>
    <w:rsid w:val="00B953F0"/>
    <w:rPr>
      <w:rFonts w:ascii="Tahoma" w:hAnsi="Tahoma" w:cs="Tahoma"/>
      <w:sz w:val="16"/>
      <w:szCs w:val="16"/>
    </w:rPr>
  </w:style>
  <w:style w:type="character" w:customStyle="1" w:styleId="BalloonTextChar">
    <w:name w:val="Balloon Text Char"/>
    <w:basedOn w:val="DefaultParagraphFont"/>
    <w:link w:val="BalloonText"/>
    <w:semiHidden/>
    <w:locked/>
    <w:rsid w:val="00831388"/>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ALTERNATE BID SCHEDULE</vt:lpstr>
    </vt:vector>
  </TitlesOfParts>
  <Company>CDOT</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BID SCHEDULE</dc:title>
  <dc:creator>bart necessary</dc:creator>
  <cp:lastModifiedBy>John W. Kronholm</cp:lastModifiedBy>
  <cp:revision>2</cp:revision>
  <cp:lastPrinted>2008-07-02T16:34:00Z</cp:lastPrinted>
  <dcterms:created xsi:type="dcterms:W3CDTF">2014-06-11T21:09:00Z</dcterms:created>
  <dcterms:modified xsi:type="dcterms:W3CDTF">2014-06-11T21:09:00Z</dcterms:modified>
</cp:coreProperties>
</file>