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377D" w14:textId="50BD2120" w:rsidR="006334C4" w:rsidRDefault="00967B32" w:rsidP="00967B32">
      <w:pPr>
        <w:widowControl w:val="0"/>
        <w:spacing w:line="240" w:lineRule="atLeast"/>
        <w:jc w:val="center"/>
        <w:rPr>
          <w:rFonts w:ascii="Trebuchet MS" w:hAnsi="Trebuchet MS"/>
          <w:b/>
          <w:bCs/>
          <w:sz w:val="28"/>
          <w:szCs w:val="28"/>
        </w:rPr>
      </w:pPr>
      <w:r w:rsidRPr="00967B32">
        <w:rPr>
          <w:rFonts w:ascii="Trebuchet MS" w:hAnsi="Trebuchet MS"/>
          <w:b/>
          <w:bCs/>
          <w:sz w:val="28"/>
          <w:szCs w:val="28"/>
        </w:rPr>
        <w:t xml:space="preserve">Traffic Control Plan </w:t>
      </w:r>
      <w:r>
        <w:rPr>
          <w:rFonts w:ascii="Trebuchet MS" w:hAnsi="Trebuchet MS"/>
          <w:b/>
          <w:bCs/>
          <w:sz w:val="28"/>
          <w:szCs w:val="28"/>
        </w:rPr>
        <w:t>–</w:t>
      </w:r>
      <w:r w:rsidRPr="00967B32">
        <w:rPr>
          <w:rFonts w:ascii="Trebuchet MS" w:hAnsi="Trebuchet MS"/>
          <w:b/>
          <w:bCs/>
          <w:sz w:val="28"/>
          <w:szCs w:val="28"/>
        </w:rPr>
        <w:t xml:space="preserve"> General</w:t>
      </w:r>
    </w:p>
    <w:p w14:paraId="3FED3CC3" w14:textId="77777777" w:rsidR="00967B32" w:rsidRPr="00967B32" w:rsidRDefault="00967B32" w:rsidP="00967B32">
      <w:pPr>
        <w:widowControl w:val="0"/>
        <w:spacing w:line="240" w:lineRule="atLeast"/>
        <w:jc w:val="center"/>
        <w:rPr>
          <w:rFonts w:ascii="Trebuchet MS" w:hAnsi="Trebuchet MS"/>
          <w:b/>
          <w:bCs/>
          <w:sz w:val="28"/>
          <w:szCs w:val="28"/>
        </w:rPr>
      </w:pPr>
    </w:p>
    <w:p w14:paraId="154C9173" w14:textId="77777777" w:rsidR="006334C4" w:rsidRPr="006B68E7" w:rsidRDefault="006334C4" w:rsidP="006B68E7">
      <w:pPr>
        <w:pStyle w:val="Heading2"/>
      </w:pPr>
      <w:r w:rsidRPr="006B68E7">
        <w:t>The key elements of the Contractor's method of handling traffic (MHT) are outlined in subsection 630.</w:t>
      </w:r>
      <w:r w:rsidR="00ED2CC1" w:rsidRPr="006B68E7">
        <w:t>10(a)</w:t>
      </w:r>
      <w:r w:rsidRPr="006B68E7">
        <w:t>.</w:t>
      </w:r>
    </w:p>
    <w:p w14:paraId="3574B6DB" w14:textId="77777777" w:rsidR="006334C4" w:rsidRPr="004A69F1" w:rsidRDefault="006334C4">
      <w:pPr>
        <w:widowControl w:val="0"/>
        <w:spacing w:line="240" w:lineRule="atLeast"/>
        <w:rPr>
          <w:rFonts w:ascii="Trebuchet MS" w:hAnsi="Trebuchet MS"/>
          <w:sz w:val="24"/>
          <w:szCs w:val="24"/>
        </w:rPr>
      </w:pPr>
    </w:p>
    <w:p w14:paraId="5997AD60" w14:textId="77777777" w:rsidR="006334C4" w:rsidRPr="004A69F1" w:rsidRDefault="006334C4">
      <w:pPr>
        <w:widowControl w:val="0"/>
        <w:spacing w:line="240" w:lineRule="atLeast"/>
        <w:rPr>
          <w:rFonts w:ascii="Trebuchet MS" w:hAnsi="Trebuchet MS"/>
          <w:sz w:val="24"/>
          <w:szCs w:val="24"/>
        </w:rPr>
      </w:pPr>
      <w:r w:rsidRPr="004A69F1">
        <w:rPr>
          <w:rFonts w:ascii="Trebuchet MS" w:hAnsi="Trebuchet MS"/>
          <w:sz w:val="24"/>
          <w:szCs w:val="24"/>
        </w:rPr>
        <w:t>The components of the TCP for this project are included in the following:</w:t>
      </w:r>
    </w:p>
    <w:p w14:paraId="2AE31019" w14:textId="77777777" w:rsidR="006334C4" w:rsidRPr="004A69F1" w:rsidRDefault="006334C4">
      <w:pPr>
        <w:widowControl w:val="0"/>
        <w:spacing w:line="240" w:lineRule="atLeast"/>
        <w:rPr>
          <w:rFonts w:ascii="Trebuchet MS" w:hAnsi="Trebuchet MS"/>
          <w:sz w:val="24"/>
          <w:szCs w:val="24"/>
        </w:rPr>
      </w:pPr>
    </w:p>
    <w:p w14:paraId="63ED48DA" w14:textId="77777777" w:rsidR="006334C4" w:rsidRPr="004A69F1" w:rsidRDefault="006334C4" w:rsidP="00B4024D">
      <w:pPr>
        <w:widowControl w:val="0"/>
        <w:spacing w:line="240" w:lineRule="atLeast"/>
        <w:ind w:left="360" w:hanging="360"/>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ab/>
        <w:t>(1)</w:t>
      </w:r>
      <w:r w:rsidRPr="004A69F1">
        <w:rPr>
          <w:rFonts w:ascii="Trebuchet MS" w:hAnsi="Trebuchet MS"/>
          <w:sz w:val="24"/>
          <w:szCs w:val="24"/>
        </w:rPr>
        <w:tab/>
        <w:t>Subsection 104.04 and Section 630 of the specifications.</w:t>
      </w:r>
    </w:p>
    <w:p w14:paraId="2110AEC3" w14:textId="77777777" w:rsidR="006334C4" w:rsidRPr="004A69F1" w:rsidRDefault="006334C4" w:rsidP="00B4024D">
      <w:pPr>
        <w:widowControl w:val="0"/>
        <w:spacing w:line="240" w:lineRule="atLeast"/>
        <w:ind w:left="360" w:hanging="360"/>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ab/>
        <w:t>(2)</w:t>
      </w:r>
      <w:r w:rsidRPr="004A69F1">
        <w:rPr>
          <w:rFonts w:ascii="Trebuchet MS" w:hAnsi="Trebuchet MS"/>
          <w:sz w:val="24"/>
          <w:szCs w:val="24"/>
        </w:rPr>
        <w:tab/>
        <w:t xml:space="preserve">Standard Plan S-630-1, Traffic Controls for Highway Construction, Case </w:t>
      </w:r>
      <w:r w:rsidRPr="006B68E7">
        <w:rPr>
          <w:rFonts w:ascii="Arial" w:hAnsi="Arial" w:cs="Arial"/>
          <w:color w:val="0070C0"/>
          <w:sz w:val="24"/>
          <w:szCs w:val="24"/>
        </w:rPr>
        <w:t>▲</w:t>
      </w:r>
      <w:r w:rsidRPr="006B68E7">
        <w:rPr>
          <w:rFonts w:ascii="Trebuchet MS" w:hAnsi="Trebuchet MS"/>
          <w:color w:val="0070C0"/>
          <w:sz w:val="24"/>
          <w:szCs w:val="24"/>
        </w:rPr>
        <w:t xml:space="preserve"> </w:t>
      </w:r>
      <w:r w:rsidRPr="004A69F1">
        <w:rPr>
          <w:rFonts w:ascii="Trebuchet MS" w:hAnsi="Trebuchet MS"/>
          <w:sz w:val="24"/>
          <w:szCs w:val="24"/>
        </w:rPr>
        <w:t>and Standard Plan S-630-2.</w:t>
      </w:r>
    </w:p>
    <w:p w14:paraId="180D20F8" w14:textId="77777777" w:rsidR="006334C4" w:rsidRPr="004A69F1" w:rsidRDefault="006334C4" w:rsidP="00B4024D">
      <w:pPr>
        <w:widowControl w:val="0"/>
        <w:spacing w:line="240" w:lineRule="atLeast"/>
        <w:ind w:left="360" w:hanging="360"/>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ab/>
        <w:t>(3)</w:t>
      </w:r>
      <w:r w:rsidRPr="004A69F1">
        <w:rPr>
          <w:rFonts w:ascii="Trebuchet MS" w:hAnsi="Trebuchet MS"/>
          <w:sz w:val="24"/>
          <w:szCs w:val="24"/>
        </w:rPr>
        <w:tab/>
        <w:t>Schedule of Construction Traffic Control Devices.</w:t>
      </w:r>
    </w:p>
    <w:p w14:paraId="4AB6916D" w14:textId="77777777" w:rsidR="006239A5" w:rsidRPr="004A69F1" w:rsidRDefault="006334C4" w:rsidP="00B4024D">
      <w:pPr>
        <w:widowControl w:val="0"/>
        <w:spacing w:line="240" w:lineRule="atLeast"/>
        <w:ind w:left="360" w:hanging="360"/>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ab/>
        <w:t>(4)</w:t>
      </w:r>
      <w:r w:rsidRPr="004A69F1">
        <w:rPr>
          <w:rFonts w:ascii="Trebuchet MS" w:hAnsi="Trebuchet MS"/>
          <w:sz w:val="24"/>
          <w:szCs w:val="24"/>
        </w:rPr>
        <w:tab/>
        <w:t>Signing Plans</w:t>
      </w:r>
      <w:r w:rsidR="006239A5" w:rsidRPr="004A69F1">
        <w:rPr>
          <w:rFonts w:ascii="Trebuchet MS" w:hAnsi="Trebuchet MS"/>
          <w:sz w:val="24"/>
          <w:szCs w:val="24"/>
        </w:rPr>
        <w:t>.</w:t>
      </w:r>
    </w:p>
    <w:p w14:paraId="58F5D970" w14:textId="77777777" w:rsidR="006334C4" w:rsidRPr="004A69F1" w:rsidRDefault="006334C4" w:rsidP="00B4024D">
      <w:pPr>
        <w:widowControl w:val="0"/>
        <w:spacing w:line="240" w:lineRule="atLeast"/>
        <w:ind w:left="360" w:hanging="360"/>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ab/>
        <w:t>(5)</w:t>
      </w:r>
      <w:r w:rsidRPr="004A69F1">
        <w:rPr>
          <w:rFonts w:ascii="Trebuchet MS" w:hAnsi="Trebuchet MS"/>
          <w:sz w:val="24"/>
          <w:szCs w:val="24"/>
        </w:rPr>
        <w:tab/>
        <w:t>Construction phasing details.</w:t>
      </w:r>
    </w:p>
    <w:p w14:paraId="6AA38B88" w14:textId="77777777" w:rsidR="006334C4" w:rsidRPr="004A69F1" w:rsidRDefault="006334C4" w:rsidP="00B4024D">
      <w:pPr>
        <w:widowControl w:val="0"/>
        <w:spacing w:line="240" w:lineRule="atLeast"/>
        <w:ind w:left="360" w:hanging="360"/>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b/>
          <w:sz w:val="24"/>
          <w:szCs w:val="24"/>
        </w:rPr>
        <w:tab/>
      </w:r>
      <w:r w:rsidRPr="004A69F1">
        <w:rPr>
          <w:rFonts w:ascii="Trebuchet MS" w:hAnsi="Trebuchet MS"/>
          <w:sz w:val="24"/>
          <w:szCs w:val="24"/>
        </w:rPr>
        <w:t>(6)</w:t>
      </w:r>
      <w:r w:rsidRPr="004A69F1">
        <w:rPr>
          <w:rFonts w:ascii="Trebuchet MS" w:hAnsi="Trebuchet MS"/>
          <w:sz w:val="24"/>
          <w:szCs w:val="24"/>
        </w:rPr>
        <w:tab/>
        <w:t>Detour Details.</w:t>
      </w:r>
    </w:p>
    <w:p w14:paraId="1F2CC530" w14:textId="77777777" w:rsidR="006334C4" w:rsidRPr="004A69F1" w:rsidRDefault="006334C4" w:rsidP="00B4024D">
      <w:pPr>
        <w:widowControl w:val="0"/>
        <w:spacing w:line="240" w:lineRule="atLeast"/>
        <w:ind w:left="360" w:hanging="360"/>
        <w:rPr>
          <w:rFonts w:ascii="Trebuchet MS" w:hAnsi="Trebuchet MS"/>
          <w:sz w:val="24"/>
          <w:szCs w:val="24"/>
          <w:u w:val="single"/>
        </w:rPr>
      </w:pPr>
      <w:r w:rsidRPr="004A69F1">
        <w:rPr>
          <w:rFonts w:ascii="Segoe UI Symbol" w:hAnsi="Segoe UI Symbol" w:cs="Segoe UI Symbol"/>
          <w:color w:val="0070C0"/>
          <w:sz w:val="24"/>
          <w:szCs w:val="24"/>
        </w:rPr>
        <w:t>♦</w:t>
      </w:r>
      <w:r w:rsidRPr="004A69F1">
        <w:rPr>
          <w:rFonts w:ascii="Trebuchet MS" w:hAnsi="Trebuchet MS"/>
          <w:sz w:val="24"/>
          <w:szCs w:val="24"/>
        </w:rPr>
        <w:tab/>
        <w:t>(7)</w:t>
      </w:r>
      <w:r w:rsidRPr="004A69F1">
        <w:rPr>
          <w:rFonts w:ascii="Trebuchet MS" w:hAnsi="Trebuchet MS"/>
          <w:sz w:val="24"/>
          <w:szCs w:val="24"/>
        </w:rPr>
        <w:tab/>
        <w:t>Other</w:t>
      </w:r>
      <w:r w:rsidR="006239A5" w:rsidRPr="004A69F1">
        <w:rPr>
          <w:rFonts w:ascii="Trebuchet MS" w:hAnsi="Trebuchet MS"/>
          <w:sz w:val="24"/>
          <w:szCs w:val="24"/>
        </w:rPr>
        <w:t>.</w:t>
      </w:r>
      <w:r w:rsidRPr="004A69F1">
        <w:rPr>
          <w:rFonts w:ascii="Trebuchet MS" w:hAnsi="Trebuchet MS"/>
          <w:sz w:val="24"/>
          <w:szCs w:val="24"/>
        </w:rPr>
        <w:t xml:space="preserve"> </w:t>
      </w:r>
      <w:r w:rsidRPr="004A69F1">
        <w:rPr>
          <w:rFonts w:ascii="Trebuchet MS" w:hAnsi="Trebuchet MS"/>
          <w:sz w:val="24"/>
          <w:szCs w:val="24"/>
          <w:u w:val="single"/>
        </w:rPr>
        <w:t xml:space="preserve">                                         </w:t>
      </w:r>
    </w:p>
    <w:p w14:paraId="139581AE" w14:textId="77777777" w:rsidR="006334C4" w:rsidRPr="004A69F1" w:rsidRDefault="006334C4">
      <w:pPr>
        <w:widowControl w:val="0"/>
        <w:spacing w:line="240" w:lineRule="atLeast"/>
        <w:rPr>
          <w:rFonts w:ascii="Trebuchet MS" w:hAnsi="Trebuchet MS"/>
          <w:sz w:val="24"/>
          <w:szCs w:val="24"/>
          <w:u w:val="single"/>
        </w:rPr>
      </w:pPr>
    </w:p>
    <w:p w14:paraId="699CAF60" w14:textId="77777777" w:rsidR="006334C4" w:rsidRPr="004A69F1" w:rsidRDefault="006334C4" w:rsidP="005556EA">
      <w:pPr>
        <w:autoSpaceDE w:val="0"/>
        <w:autoSpaceDN w:val="0"/>
        <w:adjustRightInd w:val="0"/>
        <w:rPr>
          <w:rFonts w:ascii="Trebuchet MS" w:hAnsi="Trebuchet MS" w:cs="TimesNewRomanPSMT"/>
          <w:sz w:val="24"/>
          <w:szCs w:val="24"/>
        </w:rPr>
      </w:pPr>
    </w:p>
    <w:p w14:paraId="3B00D46F" w14:textId="77777777" w:rsidR="006334C4" w:rsidRPr="004A69F1" w:rsidRDefault="00320380" w:rsidP="005556EA">
      <w:pPr>
        <w:autoSpaceDE w:val="0"/>
        <w:autoSpaceDN w:val="0"/>
        <w:adjustRightInd w:val="0"/>
        <w:rPr>
          <w:rFonts w:ascii="Trebuchet MS" w:hAnsi="Trebuchet MS"/>
          <w:sz w:val="24"/>
          <w:szCs w:val="24"/>
        </w:rPr>
      </w:pPr>
      <w:r w:rsidRPr="004A69F1">
        <w:rPr>
          <w:rFonts w:ascii="Trebuchet MS" w:hAnsi="Trebuchet MS"/>
          <w:sz w:val="24"/>
          <w:szCs w:val="24"/>
        </w:rPr>
        <w:t>Unless otherwise approved by the Engineer</w:t>
      </w:r>
      <w:r w:rsidR="006334C4" w:rsidRPr="004A69F1">
        <w:rPr>
          <w:rFonts w:ascii="Trebuchet MS" w:hAnsi="Trebuchet MS"/>
          <w:sz w:val="24"/>
          <w:szCs w:val="24"/>
        </w:rPr>
        <w:t xml:space="preserve">, the Contractor’s equipment shall follow normal and legal traffic movements. The Contractor’s ingress and egress of the </w:t>
      </w:r>
      <w:r w:rsidR="007938E7" w:rsidRPr="004A69F1">
        <w:rPr>
          <w:rFonts w:ascii="Trebuchet MS" w:hAnsi="Trebuchet MS"/>
          <w:sz w:val="24"/>
          <w:szCs w:val="24"/>
        </w:rPr>
        <w:t>w</w:t>
      </w:r>
      <w:r w:rsidR="006334C4" w:rsidRPr="004A69F1">
        <w:rPr>
          <w:rFonts w:ascii="Trebuchet MS" w:hAnsi="Trebuchet MS"/>
          <w:sz w:val="24"/>
          <w:szCs w:val="24"/>
        </w:rPr>
        <w:t>ork area shall be accomplished with as little disruption to traffic as possible. Traffic control devices shall be removed by picking up the devices in a reverse sequence to that used for installation. This may require moving backwards through the work</w:t>
      </w:r>
      <w:r w:rsidR="00E55E56" w:rsidRPr="004A69F1">
        <w:rPr>
          <w:rFonts w:ascii="Trebuchet MS" w:hAnsi="Trebuchet MS"/>
          <w:sz w:val="24"/>
          <w:szCs w:val="24"/>
        </w:rPr>
        <w:t xml:space="preserve"> </w:t>
      </w:r>
      <w:r w:rsidR="006334C4" w:rsidRPr="004A69F1">
        <w:rPr>
          <w:rFonts w:ascii="Trebuchet MS" w:hAnsi="Trebuchet MS"/>
          <w:sz w:val="24"/>
          <w:szCs w:val="24"/>
        </w:rPr>
        <w:t>zone. When located behind barrier or at other locations shown on approved traffic control plans, equipment may operate in a direction opposite to adjacent traffic.</w:t>
      </w:r>
    </w:p>
    <w:p w14:paraId="29E28902" w14:textId="77777777" w:rsidR="006334C4" w:rsidRPr="004A69F1" w:rsidRDefault="006334C4" w:rsidP="005556EA">
      <w:pPr>
        <w:autoSpaceDE w:val="0"/>
        <w:autoSpaceDN w:val="0"/>
        <w:adjustRightInd w:val="0"/>
        <w:rPr>
          <w:rFonts w:ascii="Trebuchet MS" w:hAnsi="Trebuchet MS"/>
          <w:sz w:val="24"/>
          <w:szCs w:val="24"/>
          <w:highlight w:val="yellow"/>
        </w:rPr>
      </w:pPr>
    </w:p>
    <w:p w14:paraId="72AECDAB" w14:textId="77777777" w:rsidR="006334C4" w:rsidRPr="004A69F1" w:rsidRDefault="006334C4" w:rsidP="005556EA">
      <w:pPr>
        <w:autoSpaceDE w:val="0"/>
        <w:autoSpaceDN w:val="0"/>
        <w:adjustRightInd w:val="0"/>
        <w:rPr>
          <w:rFonts w:ascii="Trebuchet MS" w:hAnsi="Trebuchet MS"/>
          <w:sz w:val="24"/>
          <w:szCs w:val="24"/>
        </w:rPr>
      </w:pPr>
      <w:r w:rsidRPr="004A69F1">
        <w:rPr>
          <w:rFonts w:ascii="Trebuchet MS" w:hAnsi="Trebuchet MS"/>
          <w:sz w:val="24"/>
          <w:szCs w:val="24"/>
        </w:rPr>
        <w:t xml:space="preserve">CDOT may have entered into operating agreements with one or more law enforcement organizations for cooperative activities. Under such agreements, at the sole discretion of </w:t>
      </w:r>
      <w:r w:rsidR="008F7B51" w:rsidRPr="004A69F1">
        <w:rPr>
          <w:rFonts w:ascii="Trebuchet MS" w:hAnsi="Trebuchet MS"/>
          <w:sz w:val="24"/>
          <w:szCs w:val="24"/>
        </w:rPr>
        <w:t>CDOT</w:t>
      </w:r>
      <w:r w:rsidRPr="004A69F1">
        <w:rPr>
          <w:rFonts w:ascii="Trebuchet MS" w:hAnsi="Trebuchet MS"/>
          <w:sz w:val="24"/>
          <w:szCs w:val="24"/>
        </w:rPr>
        <w:t>, law enforcement personnel may enter the work</w:t>
      </w:r>
      <w:r w:rsidR="006239A5" w:rsidRPr="004A69F1">
        <w:rPr>
          <w:rFonts w:ascii="Trebuchet MS" w:hAnsi="Trebuchet MS"/>
          <w:sz w:val="24"/>
          <w:szCs w:val="24"/>
        </w:rPr>
        <w:t xml:space="preserve"> </w:t>
      </w:r>
      <w:r w:rsidRPr="004A69F1">
        <w:rPr>
          <w:rFonts w:ascii="Trebuchet MS" w:hAnsi="Trebuchet MS"/>
          <w:sz w:val="24"/>
          <w:szCs w:val="24"/>
        </w:rPr>
        <w:t>zone for enforcement purposes and may participate in the Contractor’s traffic control activities. The responsibility under the Contract for all traffic control resides with the Contractor and any such participation by law enforcement personnel in Contractor traffic control activities will be referenced in either the Special Provisions or General Notes of the plans depending on whether the Contractor is to hire local law enforcement or if CDOT is contracting with Colorado State Patrol for uniformed traffic control. Nothing in this Contract is intended to create an entitlement, on the part of the Contractor, to the services or participation of the law enforcement organization.</w:t>
      </w:r>
    </w:p>
    <w:p w14:paraId="3714FEF3" w14:textId="77777777" w:rsidR="006334C4" w:rsidRPr="004A69F1" w:rsidRDefault="006334C4">
      <w:pPr>
        <w:widowControl w:val="0"/>
        <w:spacing w:line="240" w:lineRule="atLeast"/>
        <w:rPr>
          <w:rFonts w:ascii="Trebuchet MS" w:hAnsi="Trebuchet MS"/>
          <w:sz w:val="24"/>
          <w:szCs w:val="24"/>
          <w:u w:val="single"/>
        </w:rPr>
      </w:pPr>
    </w:p>
    <w:p w14:paraId="3B85846C" w14:textId="77777777" w:rsidR="006334C4" w:rsidRPr="004A69F1" w:rsidRDefault="006334C4">
      <w:pPr>
        <w:widowControl w:val="0"/>
        <w:spacing w:line="240" w:lineRule="atLeast"/>
        <w:rPr>
          <w:rFonts w:ascii="Trebuchet MS" w:hAnsi="Trebuchet MS"/>
          <w:sz w:val="24"/>
          <w:szCs w:val="24"/>
        </w:rPr>
      </w:pPr>
      <w:r w:rsidRPr="004A69F1">
        <w:rPr>
          <w:rFonts w:ascii="Trebuchet MS" w:hAnsi="Trebuchet MS"/>
          <w:sz w:val="24"/>
          <w:szCs w:val="24"/>
        </w:rPr>
        <w:t>Special Traffic Control Plan requirements for this project are as follows:</w:t>
      </w:r>
    </w:p>
    <w:p w14:paraId="0C35FC67" w14:textId="77777777" w:rsidR="006334C4" w:rsidRPr="004A69F1" w:rsidRDefault="006334C4">
      <w:pPr>
        <w:widowControl w:val="0"/>
        <w:spacing w:line="240" w:lineRule="atLeast"/>
        <w:rPr>
          <w:rFonts w:ascii="Trebuchet MS" w:hAnsi="Trebuchet MS"/>
          <w:sz w:val="24"/>
          <w:szCs w:val="24"/>
        </w:rPr>
      </w:pPr>
    </w:p>
    <w:p w14:paraId="0E20B4BE" w14:textId="77777777" w:rsidR="006334C4" w:rsidRPr="004A69F1" w:rsidRDefault="006334C4" w:rsidP="00D163D5">
      <w:pPr>
        <w:widowControl w:val="0"/>
        <w:spacing w:line="240" w:lineRule="atLeast"/>
        <w:rPr>
          <w:rFonts w:ascii="Trebuchet MS" w:hAnsi="Trebuchet MS"/>
          <w:sz w:val="24"/>
          <w:szCs w:val="24"/>
        </w:rPr>
      </w:pPr>
      <w:r w:rsidRPr="004A69F1">
        <w:rPr>
          <w:rFonts w:ascii="Trebuchet MS" w:hAnsi="Trebuchet MS"/>
          <w:sz w:val="24"/>
          <w:szCs w:val="24"/>
        </w:rPr>
        <w:t>During the construction of this project, traffic shall use the present traveled roadway unless identified on the plans or approved by the Engineer.</w:t>
      </w:r>
    </w:p>
    <w:p w14:paraId="17C28EC7" w14:textId="77777777" w:rsidR="006334C4" w:rsidRPr="004A69F1" w:rsidRDefault="006334C4" w:rsidP="00D163D5">
      <w:pPr>
        <w:widowControl w:val="0"/>
        <w:spacing w:line="240" w:lineRule="atLeast"/>
        <w:rPr>
          <w:rFonts w:ascii="Trebuchet MS" w:hAnsi="Trebuchet MS"/>
          <w:sz w:val="24"/>
          <w:szCs w:val="24"/>
        </w:rPr>
      </w:pPr>
    </w:p>
    <w:p w14:paraId="1DEC3326" w14:textId="77777777" w:rsidR="006334C4" w:rsidRPr="004A69F1" w:rsidRDefault="006334C4" w:rsidP="00D163D5">
      <w:pPr>
        <w:widowControl w:val="0"/>
        <w:spacing w:line="240" w:lineRule="atLeast"/>
        <w:rPr>
          <w:rFonts w:ascii="Trebuchet MS" w:hAnsi="Trebuchet MS"/>
          <w:sz w:val="24"/>
          <w:szCs w:val="24"/>
        </w:rPr>
      </w:pPr>
      <w:r w:rsidRPr="004A69F1">
        <w:rPr>
          <w:rFonts w:ascii="Trebuchet MS" w:hAnsi="Trebuchet MS"/>
          <w:sz w:val="24"/>
          <w:szCs w:val="24"/>
        </w:rPr>
        <w:t>The Contractor shall not have construction equipment or materials in the lanes open to traffic at any time, unless approved by the Engineer.</w:t>
      </w:r>
    </w:p>
    <w:p w14:paraId="0972FDE4" w14:textId="77777777" w:rsidR="006334C4" w:rsidRPr="004A69F1" w:rsidRDefault="006334C4" w:rsidP="004A69F1">
      <w:pPr>
        <w:pageBreakBefore/>
        <w:widowControl w:val="0"/>
        <w:spacing w:line="240" w:lineRule="atLeast"/>
        <w:rPr>
          <w:rFonts w:ascii="Trebuchet MS" w:hAnsi="Trebuchet MS"/>
          <w:sz w:val="24"/>
          <w:szCs w:val="24"/>
        </w:rPr>
      </w:pPr>
    </w:p>
    <w:p w14:paraId="1B82D970" w14:textId="77777777" w:rsidR="006334C4" w:rsidRPr="004A69F1" w:rsidRDefault="006334C4" w:rsidP="00D163D5">
      <w:pPr>
        <w:widowControl w:val="0"/>
        <w:spacing w:line="240" w:lineRule="atLeast"/>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 xml:space="preserve">During the resurfacing work, only one lane may be closed to traffic at any time unless approved by the Engineer.  Traffic shall not be delayed for more than </w:t>
      </w:r>
      <w:r w:rsidRPr="004A69F1">
        <w:rPr>
          <w:rFonts w:ascii="Segoe UI Symbol" w:hAnsi="Segoe UI Symbol" w:cs="Segoe UI Symbol"/>
          <w:color w:val="0070C0"/>
          <w:sz w:val="24"/>
          <w:szCs w:val="24"/>
        </w:rPr>
        <w:t>♣</w:t>
      </w:r>
      <w:r w:rsidRPr="004A69F1">
        <w:rPr>
          <w:rFonts w:ascii="Trebuchet MS" w:hAnsi="Trebuchet MS"/>
          <w:color w:val="0070C0"/>
          <w:sz w:val="24"/>
          <w:szCs w:val="24"/>
        </w:rPr>
        <w:t xml:space="preserve"> </w:t>
      </w:r>
      <w:r w:rsidRPr="004A69F1">
        <w:rPr>
          <w:rFonts w:ascii="Trebuchet MS" w:hAnsi="Trebuchet MS"/>
          <w:sz w:val="24"/>
          <w:szCs w:val="24"/>
        </w:rPr>
        <w:t>minutes or as directed by the Engineer.</w:t>
      </w:r>
    </w:p>
    <w:p w14:paraId="05DC6DB7" w14:textId="77777777" w:rsidR="006334C4" w:rsidRPr="004A69F1" w:rsidRDefault="006334C4" w:rsidP="00D163D5">
      <w:pPr>
        <w:widowControl w:val="0"/>
        <w:spacing w:line="240" w:lineRule="atLeast"/>
        <w:rPr>
          <w:rFonts w:ascii="Trebuchet MS" w:hAnsi="Trebuchet MS"/>
          <w:sz w:val="24"/>
          <w:szCs w:val="24"/>
        </w:rPr>
      </w:pPr>
    </w:p>
    <w:p w14:paraId="7469B8A7" w14:textId="77777777" w:rsidR="006334C4" w:rsidRPr="004A69F1" w:rsidRDefault="006334C4" w:rsidP="00D163D5">
      <w:pPr>
        <w:widowControl w:val="0"/>
        <w:spacing w:line="240" w:lineRule="atLeast"/>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 xml:space="preserve">The Contractor shall not perform any work requiring lane closure on the roadway between the hours of </w:t>
      </w:r>
      <w:r w:rsidRPr="004A69F1">
        <w:rPr>
          <w:rFonts w:ascii="Segoe UI Symbol" w:hAnsi="Segoe UI Symbol" w:cs="Segoe UI Symbol"/>
          <w:color w:val="0070C0"/>
          <w:sz w:val="24"/>
          <w:szCs w:val="24"/>
        </w:rPr>
        <w:t>♠</w:t>
      </w:r>
      <w:r w:rsidRPr="004A69F1">
        <w:rPr>
          <w:rFonts w:ascii="Trebuchet MS" w:hAnsi="Trebuchet MS"/>
          <w:sz w:val="24"/>
          <w:szCs w:val="24"/>
        </w:rPr>
        <w:t xml:space="preserve"> and </w:t>
      </w:r>
      <w:r w:rsidRPr="004A69F1">
        <w:rPr>
          <w:rFonts w:ascii="Segoe UI Symbol" w:hAnsi="Segoe UI Symbol" w:cs="Segoe UI Symbol"/>
          <w:color w:val="0070C0"/>
          <w:sz w:val="24"/>
          <w:szCs w:val="24"/>
        </w:rPr>
        <w:t>♠</w:t>
      </w:r>
      <w:r w:rsidRPr="004A69F1">
        <w:rPr>
          <w:rFonts w:ascii="Trebuchet MS" w:hAnsi="Trebuchet MS"/>
          <w:sz w:val="24"/>
          <w:szCs w:val="24"/>
        </w:rPr>
        <w:t xml:space="preserve"> and between </w:t>
      </w:r>
      <w:r w:rsidRPr="004A69F1">
        <w:rPr>
          <w:rFonts w:ascii="Segoe UI Symbol" w:hAnsi="Segoe UI Symbol" w:cs="Segoe UI Symbol"/>
          <w:color w:val="0070C0"/>
          <w:sz w:val="24"/>
          <w:szCs w:val="24"/>
        </w:rPr>
        <w:t>♠</w:t>
      </w:r>
      <w:r w:rsidRPr="004A69F1">
        <w:rPr>
          <w:rFonts w:ascii="Trebuchet MS" w:hAnsi="Trebuchet MS"/>
          <w:sz w:val="24"/>
          <w:szCs w:val="24"/>
        </w:rPr>
        <w:t xml:space="preserve"> and </w:t>
      </w:r>
      <w:r w:rsidRPr="004A69F1">
        <w:rPr>
          <w:rFonts w:ascii="Segoe UI Symbol" w:hAnsi="Segoe UI Symbol" w:cs="Segoe UI Symbol"/>
          <w:color w:val="0070C0"/>
          <w:sz w:val="24"/>
          <w:szCs w:val="24"/>
        </w:rPr>
        <w:t>♠</w:t>
      </w:r>
      <w:r w:rsidRPr="004A69F1">
        <w:rPr>
          <w:rFonts w:ascii="Trebuchet MS" w:hAnsi="Trebuchet MS"/>
          <w:color w:val="0070C0"/>
          <w:sz w:val="24"/>
          <w:szCs w:val="24"/>
          <w:u w:val="single"/>
        </w:rPr>
        <w:t xml:space="preserve"> </w:t>
      </w:r>
      <w:r w:rsidRPr="004A69F1">
        <w:rPr>
          <w:rFonts w:ascii="Trebuchet MS" w:hAnsi="Trebuchet MS"/>
          <w:sz w:val="24"/>
          <w:szCs w:val="24"/>
          <w:u w:val="single"/>
        </w:rPr>
        <w:t xml:space="preserve">   </w:t>
      </w:r>
      <w:r w:rsidRPr="004A69F1">
        <w:rPr>
          <w:rFonts w:ascii="Trebuchet MS" w:hAnsi="Trebuchet MS"/>
          <w:sz w:val="24"/>
          <w:szCs w:val="24"/>
        </w:rPr>
        <w:t xml:space="preserve"> or as directed.</w:t>
      </w:r>
    </w:p>
    <w:p w14:paraId="16DDE132" w14:textId="77777777" w:rsidR="006334C4" w:rsidRPr="004A69F1" w:rsidRDefault="006334C4" w:rsidP="00D163D5">
      <w:pPr>
        <w:widowControl w:val="0"/>
        <w:spacing w:line="240" w:lineRule="atLeast"/>
        <w:rPr>
          <w:rFonts w:ascii="Trebuchet MS" w:hAnsi="Trebuchet MS"/>
          <w:sz w:val="24"/>
          <w:szCs w:val="24"/>
        </w:rPr>
      </w:pPr>
    </w:p>
    <w:p w14:paraId="5914FED3" w14:textId="14FC3A30" w:rsidR="006334C4" w:rsidRPr="004A69F1" w:rsidRDefault="006334C4" w:rsidP="00D163D5">
      <w:pPr>
        <w:widowControl w:val="0"/>
        <w:spacing w:line="240" w:lineRule="atLeast"/>
        <w:rPr>
          <w:rFonts w:ascii="Trebuchet MS" w:hAnsi="Trebuchet MS"/>
          <w:sz w:val="24"/>
          <w:szCs w:val="24"/>
        </w:rPr>
      </w:pPr>
      <w:r w:rsidRPr="004A69F1">
        <w:rPr>
          <w:rFonts w:ascii="Segoe UI Symbol" w:hAnsi="Segoe UI Symbol" w:cs="Segoe UI Symbol"/>
          <w:color w:val="0070C0"/>
          <w:sz w:val="24"/>
          <w:szCs w:val="24"/>
        </w:rPr>
        <w:t>♦</w:t>
      </w:r>
      <w:r w:rsidRPr="004A69F1">
        <w:rPr>
          <w:rFonts w:ascii="Trebuchet MS" w:hAnsi="Trebuchet MS"/>
          <w:sz w:val="24"/>
          <w:szCs w:val="24"/>
        </w:rPr>
        <w:t xml:space="preserve">At least one week </w:t>
      </w:r>
      <w:r w:rsidR="004A69F1">
        <w:rPr>
          <w:rFonts w:ascii="Trebuchet MS" w:hAnsi="Trebuchet MS"/>
          <w:sz w:val="24"/>
          <w:szCs w:val="24"/>
        </w:rPr>
        <w:t>before</w:t>
      </w:r>
      <w:r w:rsidRPr="004A69F1">
        <w:rPr>
          <w:rFonts w:ascii="Trebuchet MS" w:hAnsi="Trebuchet MS"/>
          <w:sz w:val="24"/>
          <w:szCs w:val="24"/>
        </w:rPr>
        <w:t xml:space="preserve"> starting construction, the Contractor shall notify the</w:t>
      </w:r>
      <w:r w:rsidRPr="004A69F1">
        <w:rPr>
          <w:rFonts w:ascii="Trebuchet MS" w:hAnsi="Trebuchet MS"/>
          <w:color w:val="0070C0"/>
          <w:sz w:val="24"/>
          <w:szCs w:val="24"/>
        </w:rPr>
        <w:t xml:space="preserve"> </w:t>
      </w:r>
      <w:r w:rsidRPr="004A69F1">
        <w:rPr>
          <w:rFonts w:ascii="Arial" w:hAnsi="Arial" w:cs="Arial"/>
          <w:color w:val="0070C0"/>
          <w:sz w:val="24"/>
          <w:szCs w:val="24"/>
        </w:rPr>
        <w:t>■</w:t>
      </w:r>
      <w:r w:rsidRPr="004A69F1">
        <w:rPr>
          <w:rFonts w:ascii="Trebuchet MS" w:hAnsi="Trebuchet MS"/>
          <w:sz w:val="24"/>
          <w:szCs w:val="24"/>
        </w:rPr>
        <w:t xml:space="preserve"> Engineer of the date the Contractor intends to start construction.</w:t>
      </w:r>
    </w:p>
    <w:p w14:paraId="1580BF52" w14:textId="77777777" w:rsidR="006334C4" w:rsidRPr="004A69F1" w:rsidRDefault="006334C4" w:rsidP="00B4024D">
      <w:pPr>
        <w:widowControl w:val="0"/>
        <w:spacing w:line="240" w:lineRule="atLeast"/>
        <w:ind w:left="360" w:hanging="360"/>
        <w:rPr>
          <w:rFonts w:ascii="Trebuchet MS" w:hAnsi="Trebuchet MS"/>
          <w:sz w:val="24"/>
          <w:szCs w:val="24"/>
        </w:rPr>
      </w:pPr>
    </w:p>
    <w:p w14:paraId="07385807" w14:textId="200BD740" w:rsidR="006334C4" w:rsidRDefault="006334C4">
      <w:pPr>
        <w:widowControl w:val="0"/>
        <w:spacing w:line="240" w:lineRule="atLeast"/>
        <w:rPr>
          <w:rFonts w:ascii="Trebuchet MS" w:hAnsi="Trebuchet MS"/>
          <w:sz w:val="24"/>
          <w:szCs w:val="24"/>
        </w:rPr>
      </w:pPr>
      <w:r w:rsidRPr="004A69F1">
        <w:rPr>
          <w:rFonts w:ascii="Trebuchet MS" w:hAnsi="Trebuchet MS"/>
          <w:sz w:val="24"/>
          <w:szCs w:val="24"/>
        </w:rPr>
        <w:t>All costs incidental to the foregoing requirements shall be included in the original contract prices for the project.</w:t>
      </w:r>
    </w:p>
    <w:p w14:paraId="014D6F3F" w14:textId="77777777" w:rsidR="004A69F1" w:rsidRPr="004A69F1" w:rsidRDefault="004A69F1">
      <w:pPr>
        <w:widowControl w:val="0"/>
        <w:spacing w:line="240" w:lineRule="atLeast"/>
        <w:rPr>
          <w:rFonts w:ascii="Trebuchet MS" w:hAnsi="Trebuchet MS"/>
          <w:sz w:val="24"/>
          <w:szCs w:val="24"/>
        </w:rPr>
      </w:pPr>
    </w:p>
    <w:p w14:paraId="1795B09B" w14:textId="77777777" w:rsidR="006334C4" w:rsidRPr="004A69F1" w:rsidRDefault="006334C4">
      <w:pPr>
        <w:widowControl w:val="0"/>
        <w:spacing w:line="240" w:lineRule="atLeast"/>
        <w:rPr>
          <w:rFonts w:ascii="Trebuchet MS" w:hAnsi="Trebuchet MS"/>
          <w:sz w:val="24"/>
          <w:szCs w:val="24"/>
        </w:rPr>
      </w:pPr>
    </w:p>
    <w:p w14:paraId="7EF51DE4" w14:textId="43DD68D7" w:rsidR="006334C4" w:rsidRPr="004A69F1" w:rsidRDefault="006334C4" w:rsidP="004A69F1">
      <w:pPr>
        <w:rPr>
          <w:rFonts w:ascii="Trebuchet MS" w:hAnsi="Trebuchet MS"/>
          <w:color w:val="0070C0"/>
          <w:sz w:val="24"/>
          <w:szCs w:val="24"/>
        </w:rPr>
      </w:pPr>
      <w:r w:rsidRPr="004A69F1">
        <w:rPr>
          <w:rFonts w:ascii="Trebuchet MS" w:hAnsi="Trebuchet MS"/>
          <w:color w:val="0070C0"/>
          <w:sz w:val="24"/>
          <w:szCs w:val="24"/>
        </w:rPr>
        <w:t>****************************************************************************************</w:t>
      </w:r>
      <w:r w:rsidR="000D1FC4" w:rsidRPr="004A69F1">
        <w:rPr>
          <w:rFonts w:ascii="Trebuchet MS" w:hAnsi="Trebuchet MS"/>
          <w:color w:val="0070C0"/>
          <w:sz w:val="24"/>
          <w:szCs w:val="24"/>
        </w:rPr>
        <w:t>***</w:t>
      </w:r>
    </w:p>
    <w:p w14:paraId="1C88C172" w14:textId="7B5E2366" w:rsidR="006334C4" w:rsidRPr="004A69F1" w:rsidRDefault="006B68E7">
      <w:pPr>
        <w:widowControl w:val="0"/>
        <w:spacing w:line="240" w:lineRule="atLeast"/>
        <w:rPr>
          <w:rFonts w:ascii="Trebuchet MS" w:hAnsi="Trebuchet MS"/>
          <w:color w:val="0070C0"/>
          <w:sz w:val="24"/>
          <w:szCs w:val="24"/>
        </w:rPr>
      </w:pPr>
      <w:r w:rsidRPr="004A69F1">
        <w:rPr>
          <w:rFonts w:ascii="Trebuchet MS" w:hAnsi="Trebuchet MS"/>
          <w:b/>
          <w:color w:val="0070C0"/>
          <w:sz w:val="24"/>
          <w:szCs w:val="24"/>
        </w:rPr>
        <w:t xml:space="preserve">Instruction </w:t>
      </w:r>
      <w:r>
        <w:rPr>
          <w:rFonts w:ascii="Trebuchet MS" w:hAnsi="Trebuchet MS"/>
          <w:b/>
          <w:color w:val="0070C0"/>
          <w:sz w:val="24"/>
          <w:szCs w:val="24"/>
        </w:rPr>
        <w:t>t</w:t>
      </w:r>
      <w:r w:rsidRPr="004A69F1">
        <w:rPr>
          <w:rFonts w:ascii="Trebuchet MS" w:hAnsi="Trebuchet MS"/>
          <w:b/>
          <w:color w:val="0070C0"/>
          <w:sz w:val="24"/>
          <w:szCs w:val="24"/>
        </w:rPr>
        <w:t>o Designers</w:t>
      </w:r>
      <w:r w:rsidR="006334C4" w:rsidRPr="004A69F1">
        <w:rPr>
          <w:rFonts w:ascii="Trebuchet MS" w:hAnsi="Trebuchet MS"/>
          <w:color w:val="0070C0"/>
          <w:sz w:val="24"/>
          <w:szCs w:val="24"/>
        </w:rPr>
        <w:t xml:space="preserve"> (delete instruction and symbols from final draft):</w:t>
      </w:r>
    </w:p>
    <w:p w14:paraId="4571F194" w14:textId="77777777" w:rsidR="006334C4" w:rsidRPr="004A69F1" w:rsidRDefault="006334C4">
      <w:pPr>
        <w:widowControl w:val="0"/>
        <w:spacing w:line="240" w:lineRule="atLeast"/>
        <w:rPr>
          <w:rFonts w:ascii="Trebuchet MS" w:hAnsi="Trebuchet MS"/>
          <w:color w:val="0070C0"/>
          <w:sz w:val="24"/>
          <w:szCs w:val="24"/>
        </w:rPr>
      </w:pPr>
    </w:p>
    <w:p w14:paraId="3F4D9953" w14:textId="77777777" w:rsidR="006334C4" w:rsidRPr="004A69F1" w:rsidRDefault="006334C4" w:rsidP="005800BF">
      <w:pPr>
        <w:widowControl w:val="0"/>
        <w:spacing w:line="240" w:lineRule="atLeast"/>
        <w:ind w:left="360" w:hanging="360"/>
        <w:rPr>
          <w:rFonts w:ascii="Trebuchet MS" w:hAnsi="Trebuchet MS"/>
          <w:color w:val="0070C0"/>
          <w:sz w:val="24"/>
          <w:szCs w:val="24"/>
        </w:rPr>
      </w:pPr>
      <w:r w:rsidRPr="004A69F1">
        <w:rPr>
          <w:rFonts w:ascii="Segoe UI Symbol" w:hAnsi="Segoe UI Symbol" w:cs="Segoe UI Symbol"/>
          <w:color w:val="0070C0"/>
          <w:sz w:val="24"/>
          <w:szCs w:val="24"/>
        </w:rPr>
        <w:t>♦</w:t>
      </w:r>
      <w:r w:rsidRPr="004A69F1">
        <w:rPr>
          <w:rFonts w:ascii="Trebuchet MS" w:hAnsi="Trebuchet MS"/>
          <w:color w:val="0070C0"/>
          <w:sz w:val="24"/>
          <w:szCs w:val="24"/>
        </w:rPr>
        <w:tab/>
        <w:t>Delete if not applicable to the project.</w:t>
      </w:r>
    </w:p>
    <w:p w14:paraId="1EFFE7D6" w14:textId="77777777" w:rsidR="006334C4" w:rsidRPr="004A69F1" w:rsidRDefault="006334C4" w:rsidP="005800BF">
      <w:pPr>
        <w:widowControl w:val="0"/>
        <w:spacing w:line="240" w:lineRule="atLeast"/>
        <w:ind w:left="360" w:hanging="360"/>
        <w:rPr>
          <w:rFonts w:ascii="Trebuchet MS" w:hAnsi="Trebuchet MS"/>
          <w:color w:val="0070C0"/>
          <w:sz w:val="24"/>
          <w:szCs w:val="24"/>
        </w:rPr>
      </w:pPr>
      <w:r w:rsidRPr="004A69F1">
        <w:rPr>
          <w:rFonts w:ascii="Arial" w:hAnsi="Arial" w:cs="Arial"/>
          <w:color w:val="0070C0"/>
          <w:sz w:val="24"/>
          <w:szCs w:val="24"/>
        </w:rPr>
        <w:t>▲</w:t>
      </w:r>
      <w:r w:rsidRPr="004A69F1">
        <w:rPr>
          <w:rFonts w:ascii="Trebuchet MS" w:hAnsi="Trebuchet MS"/>
          <w:color w:val="0070C0"/>
          <w:sz w:val="24"/>
          <w:szCs w:val="24"/>
        </w:rPr>
        <w:tab/>
        <w:t>Insert the applicable case or cases from Standard Plan S</w:t>
      </w:r>
      <w:r w:rsidRPr="004A69F1">
        <w:rPr>
          <w:rFonts w:ascii="Trebuchet MS" w:hAnsi="Trebuchet MS"/>
          <w:color w:val="0070C0"/>
          <w:sz w:val="24"/>
          <w:szCs w:val="24"/>
        </w:rPr>
        <w:noBreakHyphen/>
        <w:t>630</w:t>
      </w:r>
      <w:r w:rsidRPr="004A69F1">
        <w:rPr>
          <w:rFonts w:ascii="Trebuchet MS" w:hAnsi="Trebuchet MS"/>
          <w:color w:val="0070C0"/>
          <w:sz w:val="24"/>
          <w:szCs w:val="24"/>
        </w:rPr>
        <w:noBreakHyphen/>
        <w:t>1.</w:t>
      </w:r>
    </w:p>
    <w:p w14:paraId="5A6DB8AF" w14:textId="77777777" w:rsidR="006334C4" w:rsidRPr="004A69F1" w:rsidRDefault="006334C4" w:rsidP="005800BF">
      <w:pPr>
        <w:widowControl w:val="0"/>
        <w:spacing w:line="240" w:lineRule="atLeast"/>
        <w:ind w:left="360" w:hanging="360"/>
        <w:rPr>
          <w:rFonts w:ascii="Trebuchet MS" w:hAnsi="Trebuchet MS"/>
          <w:color w:val="0070C0"/>
          <w:sz w:val="24"/>
          <w:szCs w:val="24"/>
        </w:rPr>
      </w:pPr>
      <w:r w:rsidRPr="004A69F1">
        <w:rPr>
          <w:rFonts w:ascii="Segoe UI Symbol" w:hAnsi="Segoe UI Symbol" w:cs="Segoe UI Symbol"/>
          <w:color w:val="0070C0"/>
          <w:sz w:val="24"/>
          <w:szCs w:val="24"/>
        </w:rPr>
        <w:t>♣</w:t>
      </w:r>
      <w:r w:rsidRPr="004A69F1">
        <w:rPr>
          <w:rFonts w:ascii="Trebuchet MS" w:hAnsi="Trebuchet MS"/>
          <w:color w:val="0070C0"/>
          <w:sz w:val="24"/>
          <w:szCs w:val="24"/>
        </w:rPr>
        <w:tab/>
        <w:t>Insert the amount of allowable delay.</w:t>
      </w:r>
    </w:p>
    <w:p w14:paraId="3E52F767" w14:textId="77777777" w:rsidR="006334C4" w:rsidRPr="004A69F1" w:rsidRDefault="006334C4" w:rsidP="005800BF">
      <w:pPr>
        <w:widowControl w:val="0"/>
        <w:spacing w:line="240" w:lineRule="atLeast"/>
        <w:ind w:left="360" w:hanging="360"/>
        <w:rPr>
          <w:rFonts w:ascii="Trebuchet MS" w:hAnsi="Trebuchet MS"/>
          <w:color w:val="0070C0"/>
          <w:sz w:val="24"/>
          <w:szCs w:val="24"/>
        </w:rPr>
      </w:pPr>
      <w:r w:rsidRPr="004A69F1">
        <w:rPr>
          <w:rFonts w:ascii="Segoe UI Symbol" w:hAnsi="Segoe UI Symbol" w:cs="Segoe UI Symbol"/>
          <w:color w:val="0070C0"/>
          <w:sz w:val="24"/>
          <w:szCs w:val="24"/>
        </w:rPr>
        <w:t>♠</w:t>
      </w:r>
      <w:r w:rsidRPr="004A69F1">
        <w:rPr>
          <w:rFonts w:ascii="Trebuchet MS" w:hAnsi="Trebuchet MS"/>
          <w:color w:val="0070C0"/>
          <w:sz w:val="24"/>
          <w:szCs w:val="24"/>
        </w:rPr>
        <w:tab/>
        <w:t>List the hours that work will not be allowed on the roadway.</w:t>
      </w:r>
    </w:p>
    <w:p w14:paraId="0FE9FE7E" w14:textId="77777777" w:rsidR="006334C4" w:rsidRPr="004A69F1" w:rsidRDefault="006334C4" w:rsidP="005800BF">
      <w:pPr>
        <w:widowControl w:val="0"/>
        <w:spacing w:line="240" w:lineRule="atLeast"/>
        <w:ind w:left="360" w:hanging="360"/>
        <w:rPr>
          <w:rFonts w:ascii="Trebuchet MS" w:hAnsi="Trebuchet MS"/>
          <w:color w:val="0070C0"/>
          <w:sz w:val="24"/>
          <w:szCs w:val="24"/>
        </w:rPr>
      </w:pPr>
      <w:r w:rsidRPr="004A69F1">
        <w:rPr>
          <w:rFonts w:ascii="Arial" w:hAnsi="Arial" w:cs="Arial"/>
          <w:color w:val="0070C0"/>
          <w:sz w:val="24"/>
          <w:szCs w:val="24"/>
        </w:rPr>
        <w:t>■</w:t>
      </w:r>
      <w:r w:rsidRPr="004A69F1">
        <w:rPr>
          <w:rFonts w:ascii="Trebuchet MS" w:hAnsi="Trebuchet MS"/>
          <w:color w:val="0070C0"/>
          <w:sz w:val="24"/>
          <w:szCs w:val="24"/>
        </w:rPr>
        <w:tab/>
        <w:t>Insert the name of the City or County impacted by the work.</w:t>
      </w:r>
    </w:p>
    <w:p w14:paraId="1ED4D39C" w14:textId="77777777" w:rsidR="000D1FC4" w:rsidRPr="004A69F1" w:rsidRDefault="000D1FC4" w:rsidP="005800BF">
      <w:pPr>
        <w:widowControl w:val="0"/>
        <w:spacing w:line="240" w:lineRule="atLeast"/>
        <w:ind w:left="360" w:hanging="360"/>
        <w:rPr>
          <w:rFonts w:ascii="Trebuchet MS" w:hAnsi="Trebuchet MS"/>
          <w:color w:val="0070C0"/>
          <w:sz w:val="24"/>
          <w:szCs w:val="24"/>
        </w:rPr>
      </w:pPr>
    </w:p>
    <w:p w14:paraId="65C6C51C" w14:textId="77777777" w:rsidR="006334C4" w:rsidRPr="004A69F1" w:rsidRDefault="006334C4">
      <w:pPr>
        <w:widowControl w:val="0"/>
        <w:spacing w:line="240" w:lineRule="atLeast"/>
        <w:rPr>
          <w:rFonts w:ascii="Trebuchet MS" w:hAnsi="Trebuchet MS"/>
          <w:color w:val="0070C0"/>
          <w:sz w:val="24"/>
          <w:szCs w:val="24"/>
        </w:rPr>
      </w:pPr>
      <w:r w:rsidRPr="004A69F1">
        <w:rPr>
          <w:rFonts w:ascii="Trebuchet MS" w:hAnsi="Trebuchet MS"/>
          <w:color w:val="0070C0"/>
          <w:sz w:val="24"/>
          <w:szCs w:val="24"/>
        </w:rPr>
        <w:t>If using local law enforcement</w:t>
      </w:r>
      <w:r w:rsidR="00BC7388" w:rsidRPr="004A69F1">
        <w:rPr>
          <w:rFonts w:ascii="Trebuchet MS" w:hAnsi="Trebuchet MS"/>
          <w:color w:val="0070C0"/>
          <w:sz w:val="24"/>
          <w:szCs w:val="24"/>
        </w:rPr>
        <w:t>,</w:t>
      </w:r>
      <w:r w:rsidRPr="004A69F1">
        <w:rPr>
          <w:rFonts w:ascii="Trebuchet MS" w:hAnsi="Trebuchet MS"/>
          <w:color w:val="0070C0"/>
          <w:sz w:val="24"/>
          <w:szCs w:val="24"/>
        </w:rPr>
        <w:t xml:space="preserve"> or if Contractor </w:t>
      </w:r>
      <w:r w:rsidR="00BC7388" w:rsidRPr="004A69F1">
        <w:rPr>
          <w:rFonts w:ascii="Trebuchet MS" w:hAnsi="Trebuchet MS"/>
          <w:color w:val="0070C0"/>
          <w:sz w:val="24"/>
          <w:szCs w:val="24"/>
        </w:rPr>
        <w:t xml:space="preserve">needs </w:t>
      </w:r>
      <w:r w:rsidRPr="004A69F1">
        <w:rPr>
          <w:rFonts w:ascii="Trebuchet MS" w:hAnsi="Trebuchet MS"/>
          <w:color w:val="0070C0"/>
          <w:sz w:val="24"/>
          <w:szCs w:val="24"/>
        </w:rPr>
        <w:t>to contact Colorado State Patrol for UTC services</w:t>
      </w:r>
      <w:r w:rsidR="00BC7388" w:rsidRPr="004A69F1">
        <w:rPr>
          <w:rFonts w:ascii="Trebuchet MS" w:hAnsi="Trebuchet MS"/>
          <w:color w:val="0070C0"/>
          <w:sz w:val="24"/>
          <w:szCs w:val="24"/>
        </w:rPr>
        <w:t>,</w:t>
      </w:r>
      <w:r w:rsidRPr="004A69F1">
        <w:rPr>
          <w:rFonts w:ascii="Trebuchet MS" w:hAnsi="Trebuchet MS"/>
          <w:color w:val="0070C0"/>
          <w:sz w:val="24"/>
          <w:szCs w:val="24"/>
        </w:rPr>
        <w:t xml:space="preserve"> include the appropriate 630 Project Special Provision.  If CDOT is to arrange for UTC with Colorado State Patrol then state this in General Notes of the traffic control plans. </w:t>
      </w:r>
    </w:p>
    <w:p w14:paraId="1584C147" w14:textId="77777777" w:rsidR="00AA36CC" w:rsidRPr="004A69F1" w:rsidRDefault="006334C4" w:rsidP="003C3F1C">
      <w:pPr>
        <w:rPr>
          <w:rFonts w:ascii="Trebuchet MS" w:hAnsi="Trebuchet MS"/>
          <w:color w:val="0070C0"/>
          <w:sz w:val="24"/>
          <w:szCs w:val="24"/>
        </w:rPr>
      </w:pPr>
      <w:r w:rsidRPr="004A69F1">
        <w:rPr>
          <w:rFonts w:ascii="Trebuchet MS" w:hAnsi="Trebuchet MS"/>
          <w:color w:val="0070C0"/>
          <w:sz w:val="24"/>
          <w:szCs w:val="24"/>
        </w:rPr>
        <w:t xml:space="preserve"> </w:t>
      </w:r>
    </w:p>
    <w:sectPr w:rsidR="00AA36CC" w:rsidRPr="004A69F1" w:rsidSect="006334C4">
      <w:headerReference w:type="default" r:id="rId7"/>
      <w:pgSz w:w="12240" w:h="15840" w:code="1"/>
      <w:pgMar w:top="720" w:right="1080" w:bottom="288"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053A" w14:textId="77777777" w:rsidR="008913FE" w:rsidRDefault="008913FE" w:rsidP="00F878BD">
      <w:r>
        <w:separator/>
      </w:r>
    </w:p>
  </w:endnote>
  <w:endnote w:type="continuationSeparator" w:id="0">
    <w:p w14:paraId="71283944" w14:textId="77777777" w:rsidR="008913FE" w:rsidRDefault="008913FE"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5B8C" w14:textId="77777777" w:rsidR="008913FE" w:rsidRDefault="008913FE" w:rsidP="00F878BD">
      <w:r>
        <w:separator/>
      </w:r>
    </w:p>
  </w:footnote>
  <w:footnote w:type="continuationSeparator" w:id="0">
    <w:p w14:paraId="06445ADF" w14:textId="77777777" w:rsidR="008913FE" w:rsidRDefault="008913FE"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71DC" w14:textId="77777777" w:rsidR="004A69F1" w:rsidRPr="004A69F1" w:rsidRDefault="004A69F1" w:rsidP="004A69F1">
    <w:pPr>
      <w:widowControl w:val="0"/>
      <w:spacing w:line="240" w:lineRule="atLeast"/>
      <w:rPr>
        <w:rFonts w:ascii="Trebuchet MS" w:hAnsi="Trebuchet MS"/>
        <w:sz w:val="22"/>
        <w:szCs w:val="22"/>
      </w:rPr>
    </w:pPr>
    <w:r w:rsidRPr="004A69F1">
      <w:rPr>
        <w:rFonts w:ascii="Trebuchet MS" w:hAnsi="Trebuchet MS"/>
        <w:sz w:val="22"/>
        <w:szCs w:val="22"/>
      </w:rPr>
      <w:t xml:space="preserve">Work Sheet: tcpg </w:t>
    </w:r>
  </w:p>
  <w:p w14:paraId="1CA2E595" w14:textId="77777777" w:rsidR="004A69F1" w:rsidRPr="004A69F1" w:rsidRDefault="004A69F1" w:rsidP="004A69F1">
    <w:pPr>
      <w:pStyle w:val="Header"/>
      <w:rPr>
        <w:rFonts w:ascii="Trebuchet MS" w:hAnsi="Trebuchet MS" w:cs="Times New Roman"/>
        <w:sz w:val="22"/>
        <w:szCs w:val="22"/>
      </w:rPr>
    </w:pPr>
    <w:r w:rsidRPr="004A69F1">
      <w:rPr>
        <w:rFonts w:ascii="Trebuchet MS" w:hAnsi="Trebuchet MS" w:cs="Times New Roman"/>
        <w:sz w:val="22"/>
        <w:szCs w:val="22"/>
      </w:rPr>
      <w:t xml:space="preserve">Page </w:t>
    </w:r>
    <w:sdt>
      <w:sdtPr>
        <w:rPr>
          <w:rFonts w:ascii="Trebuchet MS" w:hAnsi="Trebuchet MS" w:cs="Times New Roman"/>
          <w:sz w:val="22"/>
          <w:szCs w:val="22"/>
        </w:rPr>
        <w:id w:val="1701977206"/>
        <w:docPartObj>
          <w:docPartGallery w:val="Page Numbers (Top of Page)"/>
          <w:docPartUnique/>
        </w:docPartObj>
      </w:sdtPr>
      <w:sdtEndPr>
        <w:rPr>
          <w:noProof/>
        </w:rPr>
      </w:sdtEndPr>
      <w:sdtContent>
        <w:r w:rsidRPr="004A69F1">
          <w:rPr>
            <w:rFonts w:ascii="Trebuchet MS" w:hAnsi="Trebuchet MS" w:cs="Times New Roman"/>
            <w:sz w:val="22"/>
            <w:szCs w:val="22"/>
          </w:rPr>
          <w:fldChar w:fldCharType="begin"/>
        </w:r>
        <w:r w:rsidRPr="004A69F1">
          <w:rPr>
            <w:rFonts w:ascii="Trebuchet MS" w:hAnsi="Trebuchet MS" w:cs="Times New Roman"/>
            <w:sz w:val="22"/>
            <w:szCs w:val="22"/>
          </w:rPr>
          <w:instrText xml:space="preserve"> PAGE   \* MERGEFORMAT </w:instrText>
        </w:r>
        <w:r w:rsidRPr="004A69F1">
          <w:rPr>
            <w:rFonts w:ascii="Trebuchet MS" w:hAnsi="Trebuchet MS" w:cs="Times New Roman"/>
            <w:sz w:val="22"/>
            <w:szCs w:val="22"/>
          </w:rPr>
          <w:fldChar w:fldCharType="separate"/>
        </w:r>
        <w:r>
          <w:rPr>
            <w:rFonts w:ascii="Trebuchet MS" w:hAnsi="Trebuchet MS" w:cs="Times New Roman"/>
            <w:sz w:val="22"/>
            <w:szCs w:val="22"/>
          </w:rPr>
          <w:t>1</w:t>
        </w:r>
        <w:r w:rsidRPr="004A69F1">
          <w:rPr>
            <w:rFonts w:ascii="Trebuchet MS" w:hAnsi="Trebuchet MS" w:cs="Times New Roman"/>
            <w:noProof/>
            <w:sz w:val="22"/>
            <w:szCs w:val="22"/>
          </w:rPr>
          <w:fldChar w:fldCharType="end"/>
        </w:r>
        <w:r w:rsidRPr="004A69F1">
          <w:rPr>
            <w:rFonts w:ascii="Trebuchet MS" w:hAnsi="Trebuchet MS" w:cs="Times New Roman"/>
            <w:noProof/>
            <w:sz w:val="22"/>
            <w:szCs w:val="22"/>
          </w:rPr>
          <w:t xml:space="preserve"> of 2</w:t>
        </w:r>
      </w:sdtContent>
    </w:sdt>
  </w:p>
  <w:p w14:paraId="304E44BF" w14:textId="77777777" w:rsidR="004A69F1" w:rsidRDefault="004A69F1" w:rsidP="004A69F1">
    <w:pPr>
      <w:pStyle w:val="Header"/>
      <w:rPr>
        <w:rFonts w:ascii="Trebuchet MS" w:hAnsi="Trebuchet MS" w:cs="Times New Roman"/>
        <w:sz w:val="22"/>
        <w:szCs w:val="22"/>
      </w:rPr>
    </w:pPr>
    <w:r w:rsidRPr="004A69F1">
      <w:rPr>
        <w:rFonts w:ascii="Trebuchet MS" w:hAnsi="Trebuchet MS" w:cs="Times New Roman"/>
        <w:sz w:val="22"/>
        <w:szCs w:val="22"/>
      </w:rPr>
      <w:t>02-03-11 (Re-issued 07-03-17)</w:t>
    </w:r>
  </w:p>
  <w:p w14:paraId="1927DCA7" w14:textId="66DFAF13" w:rsidR="006B68E7" w:rsidRPr="004A69F1" w:rsidRDefault="006B68E7" w:rsidP="004A69F1">
    <w:pPr>
      <w:pStyle w:val="Header"/>
      <w:rPr>
        <w:rFonts w:ascii="Trebuchet MS" w:hAnsi="Trebuchet MS" w:cs="Times New Roman"/>
        <w:sz w:val="22"/>
        <w:szCs w:val="22"/>
      </w:rPr>
    </w:pPr>
    <w:r w:rsidRPr="006B68E7">
      <w:rPr>
        <w:rFonts w:ascii="Trebuchet MS" w:hAnsi="Trebuchet MS" w:cs="Times New Roman"/>
        <w:sz w:val="22"/>
        <w:szCs w:val="22"/>
      </w:rPr>
      <w:t>ADA 8.22.23</w:t>
    </w:r>
  </w:p>
  <w:sdt>
    <w:sdtPr>
      <w:rPr>
        <w:rFonts w:ascii="Times New Roman" w:hAnsi="Times New Roman" w:cs="Times New Roman"/>
        <w:b/>
        <w:bCs/>
        <w:sz w:val="20"/>
        <w:szCs w:val="20"/>
      </w:rPr>
      <w:id w:val="-1120607689"/>
      <w:docPartObj>
        <w:docPartGallery w:val="Page Numbers (Top of Page)"/>
        <w:docPartUnique/>
      </w:docPartObj>
    </w:sdtPr>
    <w:sdtEndPr>
      <w:rPr>
        <w:rFonts w:ascii="Trebuchet MS" w:hAnsi="Trebuchet MS"/>
        <w:sz w:val="28"/>
        <w:szCs w:val="28"/>
      </w:rPr>
    </w:sdtEndPr>
    <w:sdtContent>
      <w:p w14:paraId="239F2C05" w14:textId="77777777" w:rsidR="004A69F1" w:rsidRDefault="004A69F1">
        <w:pPr>
          <w:pStyle w:val="Header"/>
          <w:jc w:val="center"/>
          <w:rPr>
            <w:rFonts w:ascii="Trebuchet MS" w:hAnsi="Trebuchet MS"/>
            <w:noProof/>
          </w:rPr>
        </w:pPr>
        <w:r w:rsidRPr="004A69F1">
          <w:rPr>
            <w:rFonts w:ascii="Trebuchet MS" w:hAnsi="Trebuchet MS"/>
          </w:rPr>
          <w:fldChar w:fldCharType="begin"/>
        </w:r>
        <w:r w:rsidRPr="004A69F1">
          <w:rPr>
            <w:rFonts w:ascii="Trebuchet MS" w:hAnsi="Trebuchet MS"/>
          </w:rPr>
          <w:instrText xml:space="preserve"> PAGE   \* MERGEFORMAT </w:instrText>
        </w:r>
        <w:r w:rsidRPr="004A69F1">
          <w:rPr>
            <w:rFonts w:ascii="Trebuchet MS" w:hAnsi="Trebuchet MS"/>
          </w:rPr>
          <w:fldChar w:fldCharType="separate"/>
        </w:r>
        <w:r w:rsidRPr="004A69F1">
          <w:rPr>
            <w:rFonts w:ascii="Trebuchet MS" w:hAnsi="Trebuchet MS"/>
            <w:noProof/>
          </w:rPr>
          <w:t>2</w:t>
        </w:r>
        <w:r w:rsidRPr="004A69F1">
          <w:rPr>
            <w:rFonts w:ascii="Trebuchet MS" w:hAnsi="Trebuchet MS"/>
            <w:noProof/>
          </w:rPr>
          <w:fldChar w:fldCharType="end"/>
        </w:r>
      </w:p>
      <w:p w14:paraId="70303523" w14:textId="7584BA76" w:rsidR="004A69F1" w:rsidRPr="006B68E7" w:rsidRDefault="00000000" w:rsidP="006B68E7">
        <w:pPr>
          <w:pStyle w:val="Heading1"/>
        </w:pPr>
      </w:p>
    </w:sdtContent>
  </w:sdt>
  <w:p w14:paraId="33C209BC" w14:textId="77777777" w:rsidR="00726A77" w:rsidRPr="001A1BC6" w:rsidRDefault="00726A77" w:rsidP="003F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3"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7097556">
    <w:abstractNumId w:val="0"/>
  </w:num>
  <w:num w:numId="2" w16cid:durableId="1783378748">
    <w:abstractNumId w:val="2"/>
  </w:num>
  <w:num w:numId="3" w16cid:durableId="1564638433">
    <w:abstractNumId w:val="3"/>
  </w:num>
  <w:num w:numId="4" w16cid:durableId="76862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5AE3"/>
    <w:rsid w:val="000D1FC4"/>
    <w:rsid w:val="000F53C1"/>
    <w:rsid w:val="00103900"/>
    <w:rsid w:val="00192198"/>
    <w:rsid w:val="00193939"/>
    <w:rsid w:val="001C3F85"/>
    <w:rsid w:val="002A0953"/>
    <w:rsid w:val="002A3D32"/>
    <w:rsid w:val="002B28C2"/>
    <w:rsid w:val="00320380"/>
    <w:rsid w:val="00335739"/>
    <w:rsid w:val="0037129F"/>
    <w:rsid w:val="003C3F1C"/>
    <w:rsid w:val="003E4BE6"/>
    <w:rsid w:val="003F4380"/>
    <w:rsid w:val="004072C4"/>
    <w:rsid w:val="00443478"/>
    <w:rsid w:val="00493AF0"/>
    <w:rsid w:val="004A69F1"/>
    <w:rsid w:val="004B60B6"/>
    <w:rsid w:val="004C2CF0"/>
    <w:rsid w:val="0050570B"/>
    <w:rsid w:val="005B0D2C"/>
    <w:rsid w:val="006239A5"/>
    <w:rsid w:val="006334C4"/>
    <w:rsid w:val="006723C8"/>
    <w:rsid w:val="00687DD6"/>
    <w:rsid w:val="006B68E7"/>
    <w:rsid w:val="006B7F2D"/>
    <w:rsid w:val="00726A77"/>
    <w:rsid w:val="007441A6"/>
    <w:rsid w:val="007735BF"/>
    <w:rsid w:val="007938E7"/>
    <w:rsid w:val="00870736"/>
    <w:rsid w:val="008913FE"/>
    <w:rsid w:val="00896643"/>
    <w:rsid w:val="008C0892"/>
    <w:rsid w:val="008C1634"/>
    <w:rsid w:val="008C1BCA"/>
    <w:rsid w:val="008E5C45"/>
    <w:rsid w:val="008F7B51"/>
    <w:rsid w:val="00901DCA"/>
    <w:rsid w:val="0090517B"/>
    <w:rsid w:val="00967B32"/>
    <w:rsid w:val="00973DFA"/>
    <w:rsid w:val="00975221"/>
    <w:rsid w:val="00987248"/>
    <w:rsid w:val="009E1F09"/>
    <w:rsid w:val="009E2D1E"/>
    <w:rsid w:val="00A14275"/>
    <w:rsid w:val="00A469F2"/>
    <w:rsid w:val="00A76618"/>
    <w:rsid w:val="00A92397"/>
    <w:rsid w:val="00A97139"/>
    <w:rsid w:val="00AA36CC"/>
    <w:rsid w:val="00AB5689"/>
    <w:rsid w:val="00AC7AF4"/>
    <w:rsid w:val="00AD624C"/>
    <w:rsid w:val="00AE4984"/>
    <w:rsid w:val="00AF0029"/>
    <w:rsid w:val="00B25927"/>
    <w:rsid w:val="00B74805"/>
    <w:rsid w:val="00B91FF1"/>
    <w:rsid w:val="00BB308B"/>
    <w:rsid w:val="00BC7388"/>
    <w:rsid w:val="00E44074"/>
    <w:rsid w:val="00E55E56"/>
    <w:rsid w:val="00E85CC9"/>
    <w:rsid w:val="00EA41A8"/>
    <w:rsid w:val="00EA7A41"/>
    <w:rsid w:val="00ED2CC1"/>
    <w:rsid w:val="00EE0BBA"/>
    <w:rsid w:val="00EF1243"/>
    <w:rsid w:val="00F511B2"/>
    <w:rsid w:val="00F605A4"/>
    <w:rsid w:val="00F7541E"/>
    <w:rsid w:val="00F8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E6AE2"/>
  <w15:docId w15:val="{59496009-8419-4C58-97D5-79C3F4DB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17B"/>
  </w:style>
  <w:style w:type="paragraph" w:styleId="Heading1">
    <w:name w:val="heading 1"/>
    <w:basedOn w:val="Normal"/>
    <w:next w:val="Normal"/>
    <w:qFormat/>
    <w:rsid w:val="006B68E7"/>
    <w:pPr>
      <w:widowControl w:val="0"/>
      <w:tabs>
        <w:tab w:val="left" w:pos="1365"/>
      </w:tabs>
      <w:spacing w:line="240" w:lineRule="atLeast"/>
      <w:jc w:val="center"/>
      <w:outlineLvl w:val="0"/>
    </w:pPr>
    <w:rPr>
      <w:rFonts w:ascii="Trebuchet MS" w:hAnsi="Trebuchet MS"/>
      <w:b/>
      <w:bCs/>
      <w:sz w:val="28"/>
      <w:szCs w:val="28"/>
    </w:rPr>
  </w:style>
  <w:style w:type="paragraph" w:styleId="Heading2">
    <w:name w:val="heading 2"/>
    <w:basedOn w:val="Heading1"/>
    <w:next w:val="Normal"/>
    <w:qFormat/>
    <w:rsid w:val="006B68E7"/>
    <w:pPr>
      <w:jc w:val="left"/>
      <w:outlineLvl w:val="1"/>
    </w:pPr>
    <w:rPr>
      <w:sz w:val="24"/>
      <w:szCs w:val="24"/>
    </w:rPr>
  </w:style>
  <w:style w:type="paragraph" w:styleId="Heading3">
    <w:name w:val="heading 3"/>
    <w:basedOn w:val="Normal"/>
    <w:next w:val="Normal"/>
    <w:qFormat/>
    <w:rsid w:val="0090517B"/>
    <w:pPr>
      <w:keepNext/>
      <w:outlineLvl w:val="2"/>
    </w:pPr>
    <w:rPr>
      <w:sz w:val="24"/>
    </w:rPr>
  </w:style>
  <w:style w:type="paragraph" w:styleId="Heading4">
    <w:name w:val="heading 4"/>
    <w:basedOn w:val="Normal"/>
    <w:next w:val="Normal"/>
    <w:qFormat/>
    <w:rsid w:val="0090517B"/>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517B"/>
    <w:rPr>
      <w:rFonts w:ascii="Arial Narrow" w:hAnsi="Arial Narrow"/>
      <w:b/>
    </w:rPr>
  </w:style>
  <w:style w:type="paragraph" w:styleId="Title">
    <w:name w:val="Title"/>
    <w:basedOn w:val="Normal"/>
    <w:link w:val="TitleChar"/>
    <w:qFormat/>
    <w:rsid w:val="0090517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90517B"/>
    <w:pPr>
      <w:ind w:left="360" w:hanging="432"/>
    </w:pPr>
    <w:rPr>
      <w:rFonts w:ascii="Arial" w:hAnsi="Arial"/>
    </w:rPr>
  </w:style>
  <w:style w:type="paragraph" w:styleId="BodyTextIndent">
    <w:name w:val="Body Text Indent"/>
    <w:basedOn w:val="Normal"/>
    <w:rsid w:val="0090517B"/>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90517B"/>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character" w:styleId="CommentReference">
    <w:name w:val="annotation reference"/>
    <w:basedOn w:val="DefaultParagraphFont"/>
    <w:rsid w:val="006334C4"/>
    <w:rPr>
      <w:sz w:val="16"/>
      <w:szCs w:val="16"/>
    </w:rPr>
  </w:style>
  <w:style w:type="paragraph" w:styleId="CommentText">
    <w:name w:val="annotation text"/>
    <w:basedOn w:val="Normal"/>
    <w:link w:val="CommentTextChar"/>
    <w:rsid w:val="006334C4"/>
    <w:rPr>
      <w:rFonts w:ascii="Courier" w:hAnsi="Courier"/>
      <w:noProof/>
    </w:rPr>
  </w:style>
  <w:style w:type="character" w:customStyle="1" w:styleId="CommentTextChar">
    <w:name w:val="Comment Text Char"/>
    <w:basedOn w:val="DefaultParagraphFont"/>
    <w:link w:val="CommentText"/>
    <w:rsid w:val="006334C4"/>
    <w:rPr>
      <w:rFonts w:ascii="Courier" w:hAnsi="Courier"/>
      <w:noProof/>
    </w:rPr>
  </w:style>
  <w:style w:type="paragraph" w:styleId="BalloonText">
    <w:name w:val="Balloon Text"/>
    <w:basedOn w:val="Normal"/>
    <w:link w:val="BalloonTextChar"/>
    <w:rsid w:val="006334C4"/>
    <w:rPr>
      <w:rFonts w:ascii="Tahoma" w:hAnsi="Tahoma" w:cs="Tahoma"/>
      <w:sz w:val="16"/>
      <w:szCs w:val="16"/>
    </w:rPr>
  </w:style>
  <w:style w:type="character" w:customStyle="1" w:styleId="BalloonTextChar">
    <w:name w:val="Balloon Text Char"/>
    <w:basedOn w:val="DefaultParagraphFont"/>
    <w:link w:val="BalloonText"/>
    <w:rsid w:val="006334C4"/>
    <w:rPr>
      <w:rFonts w:ascii="Tahoma" w:hAnsi="Tahoma" w:cs="Tahoma"/>
      <w:sz w:val="16"/>
      <w:szCs w:val="16"/>
    </w:rPr>
  </w:style>
  <w:style w:type="paragraph" w:styleId="CommentSubject">
    <w:name w:val="annotation subject"/>
    <w:basedOn w:val="CommentText"/>
    <w:next w:val="CommentText"/>
    <w:link w:val="CommentSubjectChar"/>
    <w:rsid w:val="00E55E56"/>
    <w:rPr>
      <w:rFonts w:ascii="Times New Roman" w:hAnsi="Times New Roman"/>
      <w:b/>
      <w:bCs/>
      <w:noProof w:val="0"/>
    </w:rPr>
  </w:style>
  <w:style w:type="character" w:customStyle="1" w:styleId="CommentSubjectChar">
    <w:name w:val="Comment Subject Char"/>
    <w:basedOn w:val="CommentTextChar"/>
    <w:link w:val="CommentSubject"/>
    <w:rsid w:val="00E55E56"/>
    <w:rPr>
      <w:rFonts w:ascii="Courier" w:hAnsi="Courier"/>
      <w:b/>
      <w:bCs/>
      <w:noProof/>
    </w:rPr>
  </w:style>
  <w:style w:type="paragraph" w:styleId="Footer">
    <w:name w:val="footer"/>
    <w:basedOn w:val="Normal"/>
    <w:link w:val="FooterChar"/>
    <w:rsid w:val="003F4380"/>
    <w:pPr>
      <w:tabs>
        <w:tab w:val="center" w:pos="4680"/>
        <w:tab w:val="right" w:pos="9360"/>
      </w:tabs>
    </w:pPr>
  </w:style>
  <w:style w:type="character" w:customStyle="1" w:styleId="FooterChar">
    <w:name w:val="Footer Char"/>
    <w:basedOn w:val="DefaultParagraphFont"/>
    <w:link w:val="Footer"/>
    <w:rsid w:val="003F4380"/>
  </w:style>
  <w:style w:type="character" w:customStyle="1" w:styleId="HeaderChar">
    <w:name w:val="Header Char"/>
    <w:basedOn w:val="DefaultParagraphFont"/>
    <w:link w:val="Header"/>
    <w:uiPriority w:val="99"/>
    <w:rsid w:val="003F4380"/>
    <w:rPr>
      <w:rFonts w:ascii="Monospac821 BT" w:hAnsi="Monospac821 BT" w:cs="Monospac8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Traffic Control Plan General worksheet</vt:lpstr>
    </vt:vector>
  </TitlesOfParts>
  <Company>Staff Design</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Plan General worksheet</dc:title>
  <dc:creator>coyv</dc:creator>
  <cp:lastModifiedBy>Kayen, Michele</cp:lastModifiedBy>
  <cp:revision>6</cp:revision>
  <cp:lastPrinted>2000-06-16T17:28:00Z</cp:lastPrinted>
  <dcterms:created xsi:type="dcterms:W3CDTF">2023-08-23T20:56:00Z</dcterms:created>
  <dcterms:modified xsi:type="dcterms:W3CDTF">2025-02-06T21:14:00Z</dcterms:modified>
</cp:coreProperties>
</file>