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9CD86" w14:textId="77777777" w:rsidR="005D77F1" w:rsidRPr="00665944" w:rsidRDefault="005D77F1" w:rsidP="00682E31">
      <w:pPr>
        <w:jc w:val="center"/>
        <w:rPr>
          <w:rFonts w:ascii="Trebuchet MS" w:hAnsi="Trebuchet MS" w:cs="Times New Roman"/>
          <w:b/>
          <w:bCs/>
          <w:sz w:val="40"/>
          <w:szCs w:val="40"/>
        </w:rPr>
      </w:pPr>
    </w:p>
    <w:p w14:paraId="394E8172" w14:textId="50DD5489" w:rsidR="005D77F1" w:rsidRPr="00665944" w:rsidRDefault="00CD6051" w:rsidP="00D97506">
      <w:pPr>
        <w:pStyle w:val="Heading1"/>
        <w:rPr>
          <w:b w:val="0"/>
        </w:rPr>
      </w:pPr>
      <w:r w:rsidRPr="00665944">
        <w:t>Notice</w:t>
      </w:r>
    </w:p>
    <w:p w14:paraId="13C8BE52" w14:textId="77777777" w:rsidR="005D77F1" w:rsidRPr="00665944" w:rsidRDefault="005D77F1" w:rsidP="00682E31">
      <w:pPr>
        <w:rPr>
          <w:rFonts w:ascii="Trebuchet MS" w:hAnsi="Trebuchet MS" w:cs="Times New Roman"/>
          <w:sz w:val="28"/>
          <w:szCs w:val="28"/>
        </w:rPr>
      </w:pPr>
    </w:p>
    <w:p w14:paraId="173A0358" w14:textId="77777777" w:rsidR="005D77F1" w:rsidRPr="00665944" w:rsidRDefault="005D77F1" w:rsidP="00682E31">
      <w:pPr>
        <w:rPr>
          <w:rFonts w:ascii="Trebuchet MS" w:hAnsi="Trebuchet MS" w:cs="Times New Roman"/>
          <w:sz w:val="28"/>
          <w:szCs w:val="28"/>
        </w:rPr>
      </w:pPr>
    </w:p>
    <w:p w14:paraId="279EF93F" w14:textId="77777777" w:rsidR="005D77F1" w:rsidRPr="00665944" w:rsidRDefault="005D77F1" w:rsidP="00682E31">
      <w:pPr>
        <w:rPr>
          <w:rFonts w:ascii="Trebuchet MS" w:hAnsi="Trebuchet MS" w:cs="Times New Roman"/>
          <w:sz w:val="28"/>
          <w:szCs w:val="28"/>
        </w:rPr>
      </w:pPr>
      <w:r w:rsidRPr="00665944">
        <w:rPr>
          <w:rFonts w:ascii="Trebuchet MS" w:hAnsi="Trebuchet MS" w:cs="Times New Roman"/>
          <w:sz w:val="28"/>
          <w:szCs w:val="28"/>
        </w:rPr>
        <w:t xml:space="preserve">This is a standard special provision that revises or modifies CDOT’s </w:t>
      </w:r>
      <w:r w:rsidRPr="00665944">
        <w:rPr>
          <w:rFonts w:ascii="Trebuchet MS" w:hAnsi="Trebuchet MS" w:cs="Times New Roman"/>
          <w:i/>
          <w:iCs/>
          <w:sz w:val="28"/>
          <w:szCs w:val="28"/>
        </w:rPr>
        <w:t>Standard Specifications for Road and Bridge Construction.</w:t>
      </w:r>
      <w:r w:rsidRPr="00665944">
        <w:rPr>
          <w:rFonts w:ascii="Trebuchet MS" w:hAnsi="Trebuchet MS" w:cs="Times New Roman"/>
          <w:sz w:val="28"/>
          <w:szCs w:val="28"/>
        </w:rPr>
        <w:t xml:space="preserve">  It has gone through a formal review and approval process and has been issued by CDOT’s </w:t>
      </w:r>
      <w:r w:rsidR="00397F9D" w:rsidRPr="00665944">
        <w:rPr>
          <w:rFonts w:ascii="Trebuchet MS" w:hAnsi="Trebuchet MS" w:cs="Times New Roman"/>
          <w:sz w:val="28"/>
          <w:szCs w:val="28"/>
        </w:rPr>
        <w:t>Project Development</w:t>
      </w:r>
      <w:r w:rsidRPr="00665944">
        <w:rPr>
          <w:rFonts w:ascii="Trebuchet MS" w:hAnsi="Trebuchet MS" w:cs="Times New Roman"/>
          <w:sz w:val="28"/>
          <w:szCs w:val="28"/>
        </w:rPr>
        <w:t xml:space="preserve">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606817" w:rsidRPr="00665944">
        <w:rPr>
          <w:rFonts w:ascii="Trebuchet MS" w:hAnsi="Trebuchet MS" w:cs="Times New Roman"/>
          <w:sz w:val="28"/>
          <w:szCs w:val="28"/>
        </w:rPr>
        <w:t xml:space="preserve">Standards and </w:t>
      </w:r>
      <w:r w:rsidRPr="00665944">
        <w:rPr>
          <w:rFonts w:ascii="Trebuchet MS" w:hAnsi="Trebuchet MS" w:cs="Times New Roman"/>
          <w:sz w:val="28"/>
          <w:szCs w:val="28"/>
        </w:rPr>
        <w:t>Specification</w:t>
      </w:r>
      <w:r w:rsidR="00606817" w:rsidRPr="00665944">
        <w:rPr>
          <w:rFonts w:ascii="Trebuchet MS" w:hAnsi="Trebuchet MS" w:cs="Times New Roman"/>
          <w:sz w:val="28"/>
          <w:szCs w:val="28"/>
        </w:rPr>
        <w:t>s</w:t>
      </w:r>
      <w:r w:rsidRPr="00665944">
        <w:rPr>
          <w:rFonts w:ascii="Trebuchet MS" w:hAnsi="Trebuchet MS" w:cs="Times New Roman"/>
          <w:sz w:val="28"/>
          <w:szCs w:val="28"/>
        </w:rPr>
        <w:t xml:space="preserve"> Unit of </w:t>
      </w:r>
      <w:r w:rsidR="009F0DB4" w:rsidRPr="00665944">
        <w:rPr>
          <w:rFonts w:ascii="Trebuchet MS" w:hAnsi="Trebuchet MS" w:cs="Times New Roman"/>
          <w:sz w:val="28"/>
          <w:szCs w:val="28"/>
        </w:rPr>
        <w:t xml:space="preserve">the </w:t>
      </w:r>
      <w:r w:rsidR="00397F9D" w:rsidRPr="00665944">
        <w:rPr>
          <w:rFonts w:ascii="Trebuchet MS" w:hAnsi="Trebuchet MS" w:cs="Times New Roman"/>
          <w:sz w:val="28"/>
          <w:szCs w:val="28"/>
        </w:rPr>
        <w:t>Project Development</w:t>
      </w:r>
      <w:r w:rsidR="009F0DB4" w:rsidRPr="00665944">
        <w:rPr>
          <w:rFonts w:ascii="Trebuchet MS" w:hAnsi="Trebuchet MS" w:cs="Times New Roman"/>
          <w:sz w:val="28"/>
          <w:szCs w:val="28"/>
        </w:rPr>
        <w:t xml:space="preserve"> Branch</w:t>
      </w:r>
      <w:r w:rsidRPr="00665944">
        <w:rPr>
          <w:rFonts w:ascii="Trebuchet MS" w:hAnsi="Trebuchet MS" w:cs="Times New Roman"/>
          <w:sz w:val="28"/>
          <w:szCs w:val="28"/>
        </w:rPr>
        <w:t>.  The instructions for use on CDOT construction projects appear below.</w:t>
      </w:r>
    </w:p>
    <w:p w14:paraId="18CCBB28" w14:textId="77777777" w:rsidR="005D77F1" w:rsidRPr="00665944" w:rsidRDefault="005D77F1" w:rsidP="00682E31">
      <w:pPr>
        <w:rPr>
          <w:rFonts w:ascii="Trebuchet MS" w:hAnsi="Trebuchet MS" w:cs="Times New Roman"/>
          <w:sz w:val="28"/>
          <w:szCs w:val="28"/>
        </w:rPr>
      </w:pPr>
    </w:p>
    <w:p w14:paraId="0134BC23" w14:textId="77777777" w:rsidR="005D77F1" w:rsidRPr="00665944" w:rsidRDefault="005D77F1" w:rsidP="00682E31">
      <w:pPr>
        <w:rPr>
          <w:rFonts w:ascii="Trebuchet MS" w:hAnsi="Trebuchet MS" w:cs="Times New Roman"/>
          <w:sz w:val="28"/>
          <w:szCs w:val="28"/>
        </w:rPr>
      </w:pPr>
      <w:r w:rsidRPr="00665944">
        <w:rPr>
          <w:rFonts w:ascii="Trebuchet MS" w:hAnsi="Trebuchet MS" w:cs="Times New Roman"/>
          <w:sz w:val="28"/>
          <w:szCs w:val="28"/>
        </w:rPr>
        <w:t xml:space="preserve">Other agencies which use the </w:t>
      </w:r>
      <w:r w:rsidRPr="00665944">
        <w:rPr>
          <w:rFonts w:ascii="Trebuchet MS" w:hAnsi="Trebuchet MS" w:cs="Times New Roman"/>
          <w:i/>
          <w:iCs/>
          <w:sz w:val="28"/>
          <w:szCs w:val="28"/>
        </w:rPr>
        <w:t>Standard Specifications for Road and Bridge Construction</w:t>
      </w:r>
      <w:r w:rsidRPr="00665944">
        <w:rPr>
          <w:rFonts w:ascii="Trebuchet MS" w:hAnsi="Trebuchet MS" w:cs="Times New Roman"/>
          <w:sz w:val="28"/>
          <w:szCs w:val="28"/>
        </w:rPr>
        <w:t xml:space="preserve"> to administer construction projects may use this special provision as appropriate and at their own risk.</w:t>
      </w:r>
    </w:p>
    <w:p w14:paraId="5F222C95" w14:textId="77777777" w:rsidR="005D77F1" w:rsidRPr="00665944" w:rsidRDefault="005D77F1" w:rsidP="00682E31">
      <w:pPr>
        <w:rPr>
          <w:rFonts w:ascii="Trebuchet MS" w:hAnsi="Trebuchet MS" w:cs="Times New Roman"/>
          <w:sz w:val="28"/>
          <w:szCs w:val="28"/>
        </w:rPr>
      </w:pPr>
    </w:p>
    <w:p w14:paraId="3D152DDE" w14:textId="77777777" w:rsidR="005D77F1" w:rsidRPr="00E63C1B" w:rsidRDefault="005D77F1" w:rsidP="00682E31">
      <w:pPr>
        <w:rPr>
          <w:rFonts w:ascii="Trebuchet MS" w:hAnsi="Trebuchet MS" w:cs="Times New Roman"/>
          <w:sz w:val="28"/>
          <w:szCs w:val="28"/>
        </w:rPr>
      </w:pPr>
      <w:r w:rsidRPr="00E63C1B">
        <w:rPr>
          <w:rFonts w:ascii="Trebuchet MS" w:hAnsi="Trebuchet MS" w:cs="Photina"/>
          <w:b/>
          <w:bCs/>
          <w:color w:val="0070C0"/>
          <w:sz w:val="28"/>
          <w:szCs w:val="28"/>
        </w:rPr>
        <w:t xml:space="preserve">Instructions for use on CDOT construction projects: </w:t>
      </w:r>
      <w:r w:rsidRPr="00E63C1B">
        <w:rPr>
          <w:rFonts w:ascii="Trebuchet MS" w:hAnsi="Trebuchet MS" w:cs="Photina"/>
          <w:b/>
          <w:bCs/>
          <w:sz w:val="28"/>
          <w:szCs w:val="28"/>
        </w:rPr>
        <w:t xml:space="preserve"> </w:t>
      </w:r>
    </w:p>
    <w:p w14:paraId="708D6581" w14:textId="77777777" w:rsidR="005D77F1" w:rsidRPr="00665944" w:rsidRDefault="005D77F1" w:rsidP="00682E31">
      <w:pPr>
        <w:rPr>
          <w:rFonts w:ascii="Trebuchet MS" w:hAnsi="Trebuchet MS" w:cs="Times New Roman"/>
          <w:sz w:val="28"/>
          <w:szCs w:val="28"/>
        </w:rPr>
      </w:pPr>
    </w:p>
    <w:p w14:paraId="7B7BE71E" w14:textId="77777777" w:rsidR="005D77F1" w:rsidRPr="00665944" w:rsidRDefault="005D77F1" w:rsidP="00682E31">
      <w:pPr>
        <w:ind w:left="360"/>
        <w:rPr>
          <w:rFonts w:ascii="Trebuchet MS" w:hAnsi="Trebuchet MS" w:cs="Times New Roman"/>
          <w:sz w:val="28"/>
          <w:szCs w:val="28"/>
        </w:rPr>
      </w:pPr>
      <w:r w:rsidRPr="00665944">
        <w:rPr>
          <w:rFonts w:ascii="Trebuchet MS" w:hAnsi="Trebuchet MS" w:cs="Times New Roman"/>
          <w:sz w:val="28"/>
          <w:szCs w:val="28"/>
        </w:rPr>
        <w:t xml:space="preserve">Use sparingly on projects approved by the Region </w:t>
      </w:r>
      <w:r w:rsidR="00E24A79" w:rsidRPr="00665944">
        <w:rPr>
          <w:rFonts w:ascii="Trebuchet MS" w:hAnsi="Trebuchet MS" w:cs="Times New Roman"/>
          <w:sz w:val="28"/>
          <w:szCs w:val="28"/>
        </w:rPr>
        <w:t>Program Engineer</w:t>
      </w:r>
      <w:r w:rsidRPr="00665944">
        <w:rPr>
          <w:rFonts w:ascii="Trebuchet MS" w:hAnsi="Trebuchet MS" w:cs="Times New Roman"/>
          <w:sz w:val="28"/>
          <w:szCs w:val="28"/>
        </w:rPr>
        <w:t xml:space="preserve"> that meet the following criteria:</w:t>
      </w:r>
    </w:p>
    <w:p w14:paraId="5B5E6168" w14:textId="77777777" w:rsidR="005D77F1" w:rsidRPr="00665944" w:rsidRDefault="005D77F1" w:rsidP="00092B39">
      <w:pPr>
        <w:ind w:left="720" w:hanging="360"/>
        <w:rPr>
          <w:rFonts w:ascii="Trebuchet MS" w:hAnsi="Trebuchet MS" w:cs="Times New Roman"/>
          <w:sz w:val="28"/>
          <w:szCs w:val="28"/>
        </w:rPr>
      </w:pPr>
      <w:r w:rsidRPr="00665944">
        <w:rPr>
          <w:rFonts w:ascii="Trebuchet MS" w:hAnsi="Trebuchet MS" w:cs="Times New Roman"/>
          <w:sz w:val="28"/>
          <w:szCs w:val="28"/>
        </w:rPr>
        <w:t>(1)</w:t>
      </w:r>
      <w:r w:rsidRPr="00665944">
        <w:rPr>
          <w:rFonts w:ascii="Trebuchet MS" w:hAnsi="Trebuchet MS" w:cs="Times New Roman"/>
          <w:sz w:val="28"/>
          <w:szCs w:val="28"/>
        </w:rPr>
        <w:tab/>
        <w:t xml:space="preserve">Project with estimated contract amount greater than $3,000,000, </w:t>
      </w:r>
      <w:r w:rsidR="00E24A79" w:rsidRPr="00665944">
        <w:rPr>
          <w:rFonts w:ascii="Trebuchet MS" w:hAnsi="Trebuchet MS" w:cs="Times New Roman"/>
          <w:b/>
          <w:bCs/>
          <w:i/>
          <w:iCs/>
          <w:sz w:val="28"/>
          <w:szCs w:val="28"/>
        </w:rPr>
        <w:t>or</w:t>
      </w:r>
    </w:p>
    <w:p w14:paraId="4ECBC831" w14:textId="77777777" w:rsidR="005D77F1" w:rsidRPr="00665944" w:rsidRDefault="005D77F1" w:rsidP="00092B39">
      <w:pPr>
        <w:ind w:left="720" w:hanging="360"/>
        <w:rPr>
          <w:rFonts w:ascii="Trebuchet MS" w:hAnsi="Trebuchet MS" w:cs="Times New Roman"/>
          <w:sz w:val="28"/>
          <w:szCs w:val="28"/>
        </w:rPr>
      </w:pPr>
      <w:r w:rsidRPr="00665944">
        <w:rPr>
          <w:rFonts w:ascii="Trebuchet MS" w:hAnsi="Trebuchet MS" w:cs="Times New Roman"/>
          <w:sz w:val="28"/>
          <w:szCs w:val="28"/>
        </w:rPr>
        <w:t>(2)</w:t>
      </w:r>
      <w:r w:rsidRPr="00665944">
        <w:rPr>
          <w:rFonts w:ascii="Trebuchet MS" w:hAnsi="Trebuchet MS" w:cs="Times New Roman"/>
          <w:sz w:val="28"/>
          <w:szCs w:val="28"/>
        </w:rPr>
        <w:tab/>
        <w:t>Complex project that has one or more of the following elements:</w:t>
      </w:r>
    </w:p>
    <w:p w14:paraId="7ACBF1D7" w14:textId="77777777" w:rsidR="005D77F1" w:rsidRPr="00665944" w:rsidRDefault="005D77F1" w:rsidP="00092B39">
      <w:pPr>
        <w:ind w:left="1080" w:hanging="360"/>
        <w:rPr>
          <w:rFonts w:ascii="Trebuchet MS" w:hAnsi="Trebuchet MS" w:cs="Times New Roman"/>
          <w:sz w:val="28"/>
          <w:szCs w:val="28"/>
        </w:rPr>
      </w:pPr>
      <w:r w:rsidRPr="00665944">
        <w:rPr>
          <w:rFonts w:ascii="Trebuchet MS" w:hAnsi="Trebuchet MS" w:cs="Times New Roman"/>
          <w:sz w:val="28"/>
          <w:szCs w:val="28"/>
        </w:rPr>
        <w:t>A:</w:t>
      </w:r>
      <w:r w:rsidRPr="00665944">
        <w:rPr>
          <w:rFonts w:ascii="Trebuchet MS" w:hAnsi="Trebuchet MS" w:cs="Times New Roman"/>
          <w:sz w:val="28"/>
          <w:szCs w:val="28"/>
        </w:rPr>
        <w:tab/>
        <w:t>Tunneling work.</w:t>
      </w:r>
    </w:p>
    <w:p w14:paraId="7D09B079" w14:textId="77777777" w:rsidR="005D77F1" w:rsidRPr="00665944" w:rsidRDefault="005D77F1" w:rsidP="00092B39">
      <w:pPr>
        <w:ind w:left="1080" w:hanging="360"/>
        <w:rPr>
          <w:rFonts w:ascii="Trebuchet MS" w:hAnsi="Trebuchet MS" w:cs="Times New Roman"/>
          <w:sz w:val="28"/>
          <w:szCs w:val="28"/>
        </w:rPr>
      </w:pPr>
      <w:r w:rsidRPr="00665944">
        <w:rPr>
          <w:rFonts w:ascii="Trebuchet MS" w:hAnsi="Trebuchet MS" w:cs="Times New Roman"/>
          <w:sz w:val="28"/>
          <w:szCs w:val="28"/>
        </w:rPr>
        <w:t>B:</w:t>
      </w:r>
      <w:r w:rsidRPr="00665944">
        <w:rPr>
          <w:rFonts w:ascii="Trebuchet MS" w:hAnsi="Trebuchet MS" w:cs="Times New Roman"/>
          <w:sz w:val="28"/>
          <w:szCs w:val="28"/>
        </w:rPr>
        <w:tab/>
        <w:t>Overlapping or close proximity projects that could result in conflicting construction schedules/ delays.</w:t>
      </w:r>
    </w:p>
    <w:p w14:paraId="77C41D65" w14:textId="77777777" w:rsidR="005D77F1" w:rsidRPr="00665944" w:rsidRDefault="005D77F1" w:rsidP="00092B39">
      <w:pPr>
        <w:ind w:left="1080" w:hanging="360"/>
        <w:rPr>
          <w:rFonts w:ascii="Trebuchet MS" w:hAnsi="Trebuchet MS" w:cs="Times New Roman"/>
          <w:sz w:val="28"/>
          <w:szCs w:val="28"/>
        </w:rPr>
      </w:pPr>
      <w:r w:rsidRPr="00665944">
        <w:rPr>
          <w:rFonts w:ascii="Trebuchet MS" w:hAnsi="Trebuchet MS" w:cs="Times New Roman"/>
          <w:sz w:val="28"/>
          <w:szCs w:val="28"/>
        </w:rPr>
        <w:t>C:</w:t>
      </w:r>
      <w:r w:rsidRPr="00665944">
        <w:rPr>
          <w:rFonts w:ascii="Trebuchet MS" w:hAnsi="Trebuchet MS" w:cs="Times New Roman"/>
          <w:sz w:val="28"/>
          <w:szCs w:val="28"/>
        </w:rPr>
        <w:tab/>
        <w:t>Complex structures with state of the art design.</w:t>
      </w:r>
    </w:p>
    <w:p w14:paraId="39A8AD3E" w14:textId="77777777" w:rsidR="005D77F1" w:rsidRPr="00665944" w:rsidRDefault="005D77F1" w:rsidP="00092B39">
      <w:pPr>
        <w:ind w:left="1080" w:hanging="360"/>
        <w:rPr>
          <w:rFonts w:ascii="Trebuchet MS" w:hAnsi="Trebuchet MS" w:cs="Times New Roman"/>
          <w:sz w:val="28"/>
          <w:szCs w:val="28"/>
        </w:rPr>
      </w:pPr>
      <w:r w:rsidRPr="00665944">
        <w:rPr>
          <w:rFonts w:ascii="Trebuchet MS" w:hAnsi="Trebuchet MS" w:cs="Times New Roman"/>
          <w:sz w:val="28"/>
          <w:szCs w:val="28"/>
        </w:rPr>
        <w:t>D:</w:t>
      </w:r>
      <w:r w:rsidRPr="00665944">
        <w:rPr>
          <w:rFonts w:ascii="Trebuchet MS" w:hAnsi="Trebuchet MS" w:cs="Times New Roman"/>
          <w:sz w:val="28"/>
          <w:szCs w:val="28"/>
        </w:rPr>
        <w:tab/>
        <w:t>Project that has a high risk of encountering unknown hazardous materials which may change the scope of the work or delay the project.</w:t>
      </w:r>
    </w:p>
    <w:p w14:paraId="170AFF9D" w14:textId="77777777" w:rsidR="005D77F1" w:rsidRPr="00665944" w:rsidRDefault="005D77F1" w:rsidP="00092B39">
      <w:pPr>
        <w:ind w:left="1080" w:hanging="360"/>
        <w:rPr>
          <w:rFonts w:ascii="Trebuchet MS" w:hAnsi="Trebuchet MS" w:cs="Times New Roman"/>
          <w:sz w:val="28"/>
          <w:szCs w:val="28"/>
        </w:rPr>
      </w:pPr>
      <w:r w:rsidRPr="00665944">
        <w:rPr>
          <w:rFonts w:ascii="Trebuchet MS" w:hAnsi="Trebuchet MS" w:cs="Times New Roman"/>
          <w:sz w:val="28"/>
          <w:szCs w:val="28"/>
        </w:rPr>
        <w:t>E:</w:t>
      </w:r>
      <w:r w:rsidRPr="00665944">
        <w:rPr>
          <w:rFonts w:ascii="Trebuchet MS" w:hAnsi="Trebuchet MS" w:cs="Times New Roman"/>
          <w:sz w:val="28"/>
          <w:szCs w:val="28"/>
        </w:rPr>
        <w:tab/>
        <w:t>Project that has entity (other governmental or private agency) involvement and there is a good possibility that the entity will request major changes to the Contract.</w:t>
      </w:r>
    </w:p>
    <w:p w14:paraId="1BFCE694" w14:textId="77777777" w:rsidR="005D77F1" w:rsidRPr="00665944" w:rsidRDefault="005D77F1" w:rsidP="00682E31">
      <w:pPr>
        <w:ind w:left="1080" w:hanging="1080"/>
        <w:rPr>
          <w:rFonts w:ascii="Trebuchet MS" w:hAnsi="Trebuchet MS" w:cs="Times New Roman"/>
          <w:sz w:val="28"/>
          <w:szCs w:val="28"/>
        </w:rPr>
      </w:pPr>
    </w:p>
    <w:p w14:paraId="50268C9D" w14:textId="77777777" w:rsidR="005D77F1" w:rsidRPr="00665944" w:rsidRDefault="005D77F1" w:rsidP="00F246D8">
      <w:pPr>
        <w:ind w:left="1080" w:hanging="1080"/>
        <w:jc w:val="right"/>
        <w:rPr>
          <w:rFonts w:ascii="Trebuchet MS" w:hAnsi="Trebuchet MS" w:cs="Arial"/>
        </w:rPr>
      </w:pPr>
      <w:r w:rsidRPr="00665944">
        <w:rPr>
          <w:rFonts w:ascii="Trebuchet MS" w:hAnsi="Trebuchet MS" w:cs="Times New Roman"/>
          <w:sz w:val="28"/>
          <w:szCs w:val="28"/>
        </w:rPr>
        <w:br w:type="page"/>
      </w:r>
    </w:p>
    <w:p w14:paraId="0649A540" w14:textId="77777777" w:rsidR="006100F6" w:rsidRPr="00C5462F" w:rsidRDefault="006100F6" w:rsidP="006100F6">
      <w:pPr>
        <w:jc w:val="center"/>
        <w:rPr>
          <w:rFonts w:ascii="Trebuchet MS" w:hAnsi="Trebuchet MS" w:cs="Arial"/>
          <w:b/>
          <w:sz w:val="28"/>
          <w:szCs w:val="28"/>
        </w:rPr>
      </w:pPr>
      <w:r w:rsidRPr="00C5462F">
        <w:rPr>
          <w:rFonts w:ascii="Trebuchet MS" w:hAnsi="Trebuchet MS" w:cs="Arial"/>
          <w:b/>
          <w:sz w:val="28"/>
          <w:szCs w:val="28"/>
        </w:rPr>
        <w:lastRenderedPageBreak/>
        <w:t xml:space="preserve">Revision </w:t>
      </w:r>
      <w:r>
        <w:rPr>
          <w:rFonts w:ascii="Trebuchet MS" w:hAnsi="Trebuchet MS" w:cs="Arial"/>
          <w:b/>
          <w:sz w:val="28"/>
          <w:szCs w:val="28"/>
        </w:rPr>
        <w:t>o</w:t>
      </w:r>
      <w:r w:rsidRPr="00C5462F">
        <w:rPr>
          <w:rFonts w:ascii="Trebuchet MS" w:hAnsi="Trebuchet MS" w:cs="Arial"/>
          <w:b/>
          <w:sz w:val="28"/>
          <w:szCs w:val="28"/>
        </w:rPr>
        <w:t>f Section 103</w:t>
      </w:r>
    </w:p>
    <w:p w14:paraId="52554671" w14:textId="77777777" w:rsidR="006100F6" w:rsidRPr="00C5462F" w:rsidRDefault="006100F6" w:rsidP="006100F6">
      <w:pPr>
        <w:jc w:val="center"/>
        <w:rPr>
          <w:rFonts w:ascii="Trebuchet MS" w:hAnsi="Trebuchet MS" w:cs="Arial"/>
          <w:b/>
          <w:sz w:val="28"/>
          <w:szCs w:val="28"/>
        </w:rPr>
      </w:pPr>
      <w:r w:rsidRPr="00C5462F">
        <w:rPr>
          <w:rFonts w:ascii="Trebuchet MS" w:hAnsi="Trebuchet MS" w:cs="Arial"/>
          <w:b/>
          <w:sz w:val="28"/>
          <w:szCs w:val="28"/>
        </w:rPr>
        <w:t xml:space="preserve">Escrow </w:t>
      </w:r>
      <w:r>
        <w:rPr>
          <w:rFonts w:ascii="Trebuchet MS" w:hAnsi="Trebuchet MS" w:cs="Arial"/>
          <w:b/>
          <w:sz w:val="28"/>
          <w:szCs w:val="28"/>
        </w:rPr>
        <w:t>o</w:t>
      </w:r>
      <w:r w:rsidRPr="00C5462F">
        <w:rPr>
          <w:rFonts w:ascii="Trebuchet MS" w:hAnsi="Trebuchet MS" w:cs="Arial"/>
          <w:b/>
          <w:sz w:val="28"/>
          <w:szCs w:val="28"/>
        </w:rPr>
        <w:t>f Proposal Documentation</w:t>
      </w:r>
    </w:p>
    <w:p w14:paraId="38789DC7" w14:textId="77777777" w:rsidR="006100F6" w:rsidRDefault="006100F6" w:rsidP="00A707CA">
      <w:pPr>
        <w:spacing w:after="160"/>
        <w:rPr>
          <w:rFonts w:ascii="Trebuchet MS" w:hAnsi="Trebuchet MS" w:cs="Arial"/>
          <w:b/>
          <w:bCs/>
          <w:sz w:val="24"/>
          <w:szCs w:val="24"/>
        </w:rPr>
      </w:pPr>
    </w:p>
    <w:p w14:paraId="71ED3C7F" w14:textId="6D2ED39A" w:rsidR="005D77F1" w:rsidRPr="00D97506" w:rsidRDefault="005D77F1" w:rsidP="00A707CA">
      <w:pPr>
        <w:spacing w:after="160"/>
        <w:rPr>
          <w:rFonts w:ascii="Trebuchet MS" w:hAnsi="Trebuchet MS" w:cs="Arial"/>
          <w:b/>
          <w:bCs/>
          <w:sz w:val="24"/>
          <w:szCs w:val="24"/>
        </w:rPr>
      </w:pPr>
      <w:r w:rsidRPr="00D97506">
        <w:rPr>
          <w:rFonts w:ascii="Trebuchet MS" w:hAnsi="Trebuchet MS" w:cs="Arial"/>
          <w:b/>
          <w:bCs/>
          <w:sz w:val="24"/>
          <w:szCs w:val="24"/>
        </w:rPr>
        <w:t>Section 103 of the Standard Specifications is hereby revised for this project as follows:</w:t>
      </w:r>
    </w:p>
    <w:p w14:paraId="3536CFB2" w14:textId="77777777" w:rsidR="005D77F1" w:rsidRDefault="005D77F1" w:rsidP="003B5C20">
      <w:pPr>
        <w:pStyle w:val="Heading2"/>
      </w:pPr>
      <w:r w:rsidRPr="00D97506">
        <w:t>A</w:t>
      </w:r>
      <w:r w:rsidRPr="003B5C20">
        <w:t>dd subsection 103.05 as follows:</w:t>
      </w:r>
    </w:p>
    <w:p w14:paraId="20F64EA0" w14:textId="77777777" w:rsidR="003B5C20" w:rsidRPr="003B5C20" w:rsidRDefault="003B5C20" w:rsidP="003B5C20"/>
    <w:p w14:paraId="12CAA760" w14:textId="2A14A401" w:rsidR="005D77F1" w:rsidRPr="00665944" w:rsidRDefault="005D77F1" w:rsidP="00A707CA">
      <w:pPr>
        <w:spacing w:after="160"/>
        <w:rPr>
          <w:rFonts w:ascii="Trebuchet MS" w:hAnsi="Trebuchet MS" w:cs="Arial"/>
          <w:sz w:val="24"/>
          <w:szCs w:val="24"/>
        </w:rPr>
      </w:pPr>
      <w:r w:rsidRPr="00665944">
        <w:rPr>
          <w:rFonts w:ascii="Trebuchet MS" w:hAnsi="Trebuchet MS" w:cs="Arial"/>
          <w:b/>
          <w:sz w:val="24"/>
          <w:szCs w:val="24"/>
        </w:rPr>
        <w:t>103.05 Escrow of Proposal Documentation (EPD).</w:t>
      </w:r>
      <w:r w:rsidRPr="00665944">
        <w:rPr>
          <w:rFonts w:ascii="Trebuchet MS" w:hAnsi="Trebuchet MS" w:cs="Arial"/>
          <w:sz w:val="24"/>
          <w:szCs w:val="24"/>
        </w:rPr>
        <w:t xml:space="preserve"> The successful bidder, and subcontractors with subcontracts exceeding $200,000, shall submit all information and calculations used to determine their bid for this project prior to executing the Contract. This </w:t>
      </w:r>
      <w:r w:rsidR="002656D6" w:rsidRPr="00665944">
        <w:rPr>
          <w:rFonts w:ascii="Trebuchet MS" w:hAnsi="Trebuchet MS" w:cs="Arial"/>
          <w:sz w:val="24"/>
          <w:szCs w:val="24"/>
        </w:rPr>
        <w:t>documentation</w:t>
      </w:r>
      <w:r w:rsidRPr="00665944">
        <w:rPr>
          <w:rFonts w:ascii="Trebuchet MS" w:hAnsi="Trebuchet MS" w:cs="Arial"/>
          <w:sz w:val="24"/>
          <w:szCs w:val="24"/>
        </w:rPr>
        <w:t xml:space="preserve"> hereinafter referred to as "Escrow of Proposal Documentation" or "EPD", will be held in escrow for the duration of the Contract. If necessary, it will be used for the purpose of determining the Contractor's proposal concept, for price adjustments as provided in the Contract, or to resolve any dispute or claim by the Contractor.</w:t>
      </w:r>
    </w:p>
    <w:p w14:paraId="0383BAD6" w14:textId="77777777" w:rsidR="005D77F1" w:rsidRPr="00665944" w:rsidRDefault="005D77F1" w:rsidP="00A707CA">
      <w:pPr>
        <w:spacing w:after="160"/>
        <w:ind w:left="360" w:hanging="360"/>
        <w:rPr>
          <w:rFonts w:ascii="Trebuchet MS" w:hAnsi="Trebuchet MS" w:cs="Arial"/>
          <w:sz w:val="24"/>
          <w:szCs w:val="24"/>
        </w:rPr>
      </w:pPr>
      <w:r w:rsidRPr="00312A92">
        <w:rPr>
          <w:rFonts w:ascii="Trebuchet MS" w:hAnsi="Trebuchet MS" w:cs="Arial"/>
          <w:i/>
          <w:iCs/>
          <w:sz w:val="24"/>
          <w:szCs w:val="24"/>
        </w:rPr>
        <w:t>(a)</w:t>
      </w:r>
      <w:r w:rsidRPr="00665944">
        <w:rPr>
          <w:rFonts w:ascii="Trebuchet MS" w:hAnsi="Trebuchet MS" w:cs="Arial"/>
          <w:sz w:val="24"/>
          <w:szCs w:val="24"/>
        </w:rPr>
        <w:tab/>
      </w:r>
      <w:r w:rsidRPr="00665944">
        <w:rPr>
          <w:rFonts w:ascii="Trebuchet MS" w:hAnsi="Trebuchet MS" w:cs="Arial"/>
          <w:i/>
          <w:sz w:val="24"/>
          <w:szCs w:val="24"/>
        </w:rPr>
        <w:t>Format.</w:t>
      </w:r>
      <w:r w:rsidRPr="00665944">
        <w:rPr>
          <w:rFonts w:ascii="Trebuchet MS" w:hAnsi="Trebuchet MS" w:cs="Arial"/>
          <w:sz w:val="24"/>
          <w:szCs w:val="24"/>
        </w:rPr>
        <w:t xml:space="preserve"> Bidders and subcontractors are encouraged to submit the EPD in their usual cost-estimating format; a standard format is not required. It is not the intention of this specification to cause extra work during the preparation of a proposal, but to ensure that the documentation will be adequate to enable complete understanding and proper interpretation for the intended use.</w:t>
      </w:r>
    </w:p>
    <w:p w14:paraId="6FA3569E" w14:textId="77777777" w:rsidR="005D77F1" w:rsidRPr="00665944" w:rsidRDefault="00682E31" w:rsidP="00A707CA">
      <w:pPr>
        <w:spacing w:after="160"/>
        <w:ind w:left="360" w:hanging="360"/>
        <w:rPr>
          <w:rFonts w:ascii="Trebuchet MS" w:hAnsi="Trebuchet MS" w:cs="Arial"/>
          <w:sz w:val="24"/>
          <w:szCs w:val="24"/>
        </w:rPr>
      </w:pPr>
      <w:r w:rsidRPr="00665944">
        <w:rPr>
          <w:rFonts w:ascii="Trebuchet MS" w:hAnsi="Trebuchet MS" w:cs="Arial"/>
          <w:sz w:val="24"/>
          <w:szCs w:val="24"/>
        </w:rPr>
        <w:tab/>
      </w:r>
      <w:r w:rsidR="005D77F1" w:rsidRPr="00665944">
        <w:rPr>
          <w:rFonts w:ascii="Trebuchet MS" w:hAnsi="Trebuchet MS" w:cs="Arial"/>
          <w:sz w:val="24"/>
          <w:szCs w:val="24"/>
        </w:rPr>
        <w:t>The EPD shall clearly itemize the costs for each pay item. Each pay item shall be broken down into components small enough to allow a detailed cost estimate. Costs allocated to each component shall be broken down into the bidder's usual estimate categories such as direct labor, repair labor, equipment parts and supplies, expendable materials, permanent materials, and subcontractor cost as appropriate. Plant and equipment and indirect cost shall be broken down in the bidder’s usual format. Plant and equipment and indirect cost allocations shall be made to each bid item as appropriate. All costs shall be identified.</w:t>
      </w:r>
    </w:p>
    <w:p w14:paraId="683ED20C" w14:textId="77777777" w:rsidR="005D77F1" w:rsidRPr="00665944" w:rsidRDefault="00682E31" w:rsidP="00A707CA">
      <w:pPr>
        <w:spacing w:after="160"/>
        <w:ind w:left="360" w:hanging="360"/>
        <w:rPr>
          <w:rFonts w:ascii="Trebuchet MS" w:hAnsi="Trebuchet MS" w:cs="Arial"/>
          <w:sz w:val="24"/>
          <w:szCs w:val="24"/>
        </w:rPr>
      </w:pPr>
      <w:r w:rsidRPr="00665944">
        <w:rPr>
          <w:rFonts w:ascii="Trebuchet MS" w:hAnsi="Trebuchet MS" w:cs="Arial"/>
          <w:sz w:val="24"/>
          <w:szCs w:val="24"/>
        </w:rPr>
        <w:tab/>
      </w:r>
      <w:r w:rsidR="005D77F1" w:rsidRPr="00665944">
        <w:rPr>
          <w:rFonts w:ascii="Trebuchet MS" w:hAnsi="Trebuchet MS" w:cs="Arial"/>
          <w:sz w:val="24"/>
          <w:szCs w:val="24"/>
        </w:rPr>
        <w:t>The EPD shall include quantity takeoffs, construction schedule on which the bid is based, rates of production and progress, calculations, copies and quotes from subcontractors and suppliers, memoranda, narratives, and all other information used by the bidder to arrive at all of the prices contained in the proposal. Manuals standard to the industry that are used by the Contractor may be included by reference to the name, date, and publisher of the manual.</w:t>
      </w:r>
    </w:p>
    <w:p w14:paraId="4D0D10DE" w14:textId="77777777" w:rsidR="005D77F1" w:rsidRPr="00665944" w:rsidRDefault="005D77F1" w:rsidP="00A707CA">
      <w:pPr>
        <w:spacing w:after="160"/>
        <w:ind w:left="360" w:hanging="360"/>
        <w:rPr>
          <w:rFonts w:ascii="Trebuchet MS" w:hAnsi="Trebuchet MS" w:cs="Arial"/>
          <w:sz w:val="24"/>
          <w:szCs w:val="24"/>
        </w:rPr>
      </w:pPr>
      <w:r w:rsidRPr="00312A92">
        <w:rPr>
          <w:rFonts w:ascii="Trebuchet MS" w:hAnsi="Trebuchet MS" w:cs="Arial"/>
          <w:i/>
          <w:iCs/>
          <w:sz w:val="24"/>
          <w:szCs w:val="24"/>
        </w:rPr>
        <w:t>(b)</w:t>
      </w:r>
      <w:r w:rsidRPr="00665944">
        <w:rPr>
          <w:rFonts w:ascii="Trebuchet MS" w:hAnsi="Trebuchet MS" w:cs="Arial"/>
          <w:sz w:val="24"/>
          <w:szCs w:val="24"/>
        </w:rPr>
        <w:tab/>
      </w:r>
      <w:r w:rsidRPr="00665944">
        <w:rPr>
          <w:rFonts w:ascii="Trebuchet MS" w:hAnsi="Trebuchet MS" w:cs="Arial"/>
          <w:i/>
          <w:sz w:val="24"/>
          <w:szCs w:val="24"/>
        </w:rPr>
        <w:t>Submittal.</w:t>
      </w:r>
      <w:r w:rsidRPr="00665944">
        <w:rPr>
          <w:rFonts w:ascii="Trebuchet MS" w:hAnsi="Trebuchet MS" w:cs="Arial"/>
          <w:sz w:val="24"/>
          <w:szCs w:val="24"/>
        </w:rPr>
        <w:t xml:space="preserve"> The EPD shall be submitted to the Engineer in a sealed container, prior to executing the Contract, and shall be clearly marked with the bidder's name, date of submittal, project number, and "Escrow of Proposal Documentation." The EPD shall be accompanied with an affidavit, in the form following this subsection, signed by an individual authorized by the bidder to execute the proposal, stating that the material in the EPD contains all of the information which was used to develop the bid, that the individual has personally examined the contents of the EPD container, and the documentation is correct and complete.</w:t>
      </w:r>
    </w:p>
    <w:p w14:paraId="094CEDD1" w14:textId="77777777" w:rsidR="005D77F1" w:rsidRPr="00665944" w:rsidRDefault="00682E31" w:rsidP="00A707CA">
      <w:pPr>
        <w:spacing w:after="160"/>
        <w:ind w:left="360" w:hanging="360"/>
        <w:rPr>
          <w:rFonts w:ascii="Trebuchet MS" w:hAnsi="Trebuchet MS" w:cs="Arial"/>
          <w:sz w:val="24"/>
          <w:szCs w:val="24"/>
        </w:rPr>
      </w:pPr>
      <w:r w:rsidRPr="00665944">
        <w:rPr>
          <w:rFonts w:ascii="Trebuchet MS" w:hAnsi="Trebuchet MS" w:cs="Arial"/>
          <w:sz w:val="24"/>
          <w:szCs w:val="24"/>
        </w:rPr>
        <w:tab/>
      </w:r>
      <w:r w:rsidR="005D77F1" w:rsidRPr="00665944">
        <w:rPr>
          <w:rFonts w:ascii="Trebuchet MS" w:hAnsi="Trebuchet MS" w:cs="Arial"/>
          <w:sz w:val="24"/>
          <w:szCs w:val="24"/>
        </w:rPr>
        <w:t>Failure to submit EPDs as herein required will be cause for rejection of the proposal.</w:t>
      </w:r>
    </w:p>
    <w:p w14:paraId="674C243E" w14:textId="77777777" w:rsidR="005D77F1" w:rsidRPr="00665944" w:rsidRDefault="00682E31" w:rsidP="00A707CA">
      <w:pPr>
        <w:spacing w:after="160"/>
        <w:ind w:left="360" w:hanging="360"/>
        <w:rPr>
          <w:rFonts w:ascii="Trebuchet MS" w:hAnsi="Trebuchet MS" w:cs="Arial"/>
          <w:sz w:val="24"/>
          <w:szCs w:val="24"/>
        </w:rPr>
      </w:pPr>
      <w:r w:rsidRPr="00665944">
        <w:rPr>
          <w:rFonts w:ascii="Trebuchet MS" w:hAnsi="Trebuchet MS" w:cs="Arial"/>
          <w:sz w:val="24"/>
          <w:szCs w:val="24"/>
        </w:rPr>
        <w:lastRenderedPageBreak/>
        <w:tab/>
      </w:r>
      <w:r w:rsidR="005D77F1" w:rsidRPr="00665944">
        <w:rPr>
          <w:rFonts w:ascii="Trebuchet MS" w:hAnsi="Trebuchet MS" w:cs="Arial"/>
          <w:sz w:val="24"/>
          <w:szCs w:val="24"/>
        </w:rPr>
        <w:t xml:space="preserve">The successful bidder agrees, as a condition of award of the Contract, that the EPD constitutes all the assumptions and information used in the preparation of its proposal, and that no other proposal preparation information shall be considered in evaluating disputes or claims. </w:t>
      </w:r>
    </w:p>
    <w:p w14:paraId="6F175D00" w14:textId="77777777" w:rsidR="005D77F1" w:rsidRPr="00665944" w:rsidRDefault="005D77F1" w:rsidP="00A707CA">
      <w:pPr>
        <w:spacing w:after="160"/>
        <w:ind w:left="360" w:hanging="360"/>
        <w:rPr>
          <w:rFonts w:ascii="Trebuchet MS" w:hAnsi="Trebuchet MS" w:cs="Arial"/>
          <w:sz w:val="24"/>
          <w:szCs w:val="24"/>
        </w:rPr>
      </w:pPr>
      <w:r w:rsidRPr="00665944">
        <w:rPr>
          <w:rFonts w:ascii="Trebuchet MS" w:hAnsi="Trebuchet MS" w:cs="Arial"/>
          <w:sz w:val="24"/>
          <w:szCs w:val="24"/>
        </w:rPr>
        <w:t>(c)</w:t>
      </w:r>
      <w:r w:rsidRPr="00665944">
        <w:rPr>
          <w:rFonts w:ascii="Trebuchet MS" w:hAnsi="Trebuchet MS" w:cs="Arial"/>
          <w:sz w:val="24"/>
          <w:szCs w:val="24"/>
        </w:rPr>
        <w:tab/>
      </w:r>
      <w:r w:rsidRPr="00665944">
        <w:rPr>
          <w:rFonts w:ascii="Trebuchet MS" w:hAnsi="Trebuchet MS" w:cs="Arial"/>
          <w:i/>
          <w:sz w:val="24"/>
          <w:szCs w:val="24"/>
        </w:rPr>
        <w:t>Storage.</w:t>
      </w:r>
      <w:r w:rsidRPr="00665944">
        <w:rPr>
          <w:rFonts w:ascii="Trebuchet MS" w:hAnsi="Trebuchet MS" w:cs="Arial"/>
          <w:sz w:val="24"/>
          <w:szCs w:val="24"/>
        </w:rPr>
        <w:t xml:space="preserve"> The EPDs are, and shall remain, the property of the Contractor or subcontractors who prepared them and they are subject to use as provided herein. The EPDs shall be placed in escrow during the life of the Contract, in a banking institution or other bonded document storage facility suggested by the Engineer and acceptable to the Contractor. The cost of storage shall be paid by the Contractor.</w:t>
      </w:r>
    </w:p>
    <w:p w14:paraId="6E57BA37" w14:textId="77777777" w:rsidR="003F6D72" w:rsidRPr="00665944" w:rsidRDefault="005D77F1" w:rsidP="00A707CA">
      <w:pPr>
        <w:spacing w:after="160"/>
        <w:ind w:left="360" w:hanging="360"/>
        <w:rPr>
          <w:rFonts w:ascii="Trebuchet MS" w:hAnsi="Trebuchet MS" w:cs="Arial"/>
          <w:sz w:val="24"/>
          <w:szCs w:val="24"/>
        </w:rPr>
      </w:pPr>
      <w:r w:rsidRPr="00312A92">
        <w:rPr>
          <w:rFonts w:ascii="Trebuchet MS" w:hAnsi="Trebuchet MS" w:cs="Arial"/>
          <w:i/>
          <w:iCs/>
          <w:sz w:val="24"/>
          <w:szCs w:val="24"/>
        </w:rPr>
        <w:t>(d)</w:t>
      </w:r>
      <w:r w:rsidRPr="00665944">
        <w:rPr>
          <w:rFonts w:ascii="Trebuchet MS" w:hAnsi="Trebuchet MS" w:cs="Arial"/>
          <w:sz w:val="24"/>
          <w:szCs w:val="24"/>
        </w:rPr>
        <w:tab/>
      </w:r>
      <w:r w:rsidRPr="00665944">
        <w:rPr>
          <w:rFonts w:ascii="Trebuchet MS" w:hAnsi="Trebuchet MS" w:cs="Arial"/>
          <w:i/>
          <w:sz w:val="24"/>
          <w:szCs w:val="24"/>
        </w:rPr>
        <w:t>Examination.</w:t>
      </w:r>
      <w:r w:rsidRPr="00665944">
        <w:rPr>
          <w:rFonts w:ascii="Trebuchet MS" w:hAnsi="Trebuchet MS" w:cs="Arial"/>
          <w:sz w:val="24"/>
          <w:szCs w:val="24"/>
        </w:rPr>
        <w:t xml:space="preserve"> The EPDs may be examined at any time deemed necessary by the Engineer or the Contractor, in conjunction with settling disputes, claims, or contract modification orders. When the Engineer or Contractor determine that it will be necessary to review an EPD, the EPD shall be reviewed by the Engineer and either the prime Contractor or the subcontractor that submitted the EPD. If the prime Contractor and the subcontractor agree, in writing, the prime Contractor may be present when the subcontractor's EPD is reviewed. Examination of the EPD is subject to the following conditions:</w:t>
      </w:r>
    </w:p>
    <w:p w14:paraId="368FBB81" w14:textId="77777777" w:rsidR="005D77F1"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(1)</w:t>
      </w:r>
      <w:r w:rsidRPr="00665944">
        <w:rPr>
          <w:rFonts w:ascii="Trebuchet MS" w:hAnsi="Trebuchet MS" w:cs="Arial"/>
          <w:sz w:val="24"/>
          <w:szCs w:val="24"/>
        </w:rPr>
        <w:tab/>
        <w:t>The EPDs are proprietary and confidential and shall be treated as such.</w:t>
      </w:r>
    </w:p>
    <w:p w14:paraId="43191084" w14:textId="77777777" w:rsidR="005D77F1"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(2)</w:t>
      </w:r>
      <w:r w:rsidRPr="00665944">
        <w:rPr>
          <w:rFonts w:ascii="Trebuchet MS" w:hAnsi="Trebuchet MS" w:cs="Arial"/>
          <w:sz w:val="24"/>
          <w:szCs w:val="24"/>
        </w:rPr>
        <w:tab/>
        <w:t>The Engineer and the Contractor shall each designate three representatives who are authorized to examine the EPDs. In addition, the Contractor shall designate one additional representative for every EPD submitted by subcontractors.</w:t>
      </w:r>
    </w:p>
    <w:p w14:paraId="339B6AD3" w14:textId="77777777" w:rsidR="00F246D8"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(3)</w:t>
      </w:r>
      <w:r w:rsidRPr="00665944">
        <w:rPr>
          <w:rFonts w:ascii="Trebuchet MS" w:hAnsi="Trebuchet MS" w:cs="Arial"/>
          <w:sz w:val="24"/>
          <w:szCs w:val="24"/>
        </w:rPr>
        <w:tab/>
        <w:t>Each party shall designate a representative to receive notice of examination of the EPD.</w:t>
      </w:r>
    </w:p>
    <w:p w14:paraId="6C5DF671" w14:textId="77777777" w:rsidR="005D77F1"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(4)</w:t>
      </w:r>
      <w:r w:rsidRPr="00665944">
        <w:rPr>
          <w:rFonts w:ascii="Trebuchet MS" w:hAnsi="Trebuchet MS" w:cs="Arial"/>
          <w:sz w:val="24"/>
          <w:szCs w:val="24"/>
        </w:rPr>
        <w:tab/>
        <w:t>Prior to examining the EPD 24 hours written notice shall be given to the other party, so that the examination can be witnessed by the other party. The notice shall include a list of the bid items or areas of work that will be examined.</w:t>
      </w:r>
    </w:p>
    <w:p w14:paraId="6BC44C6D" w14:textId="77777777" w:rsidR="005D77F1"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(5)</w:t>
      </w:r>
      <w:r w:rsidRPr="00665944">
        <w:rPr>
          <w:rFonts w:ascii="Trebuchet MS" w:hAnsi="Trebuchet MS" w:cs="Arial"/>
          <w:sz w:val="24"/>
          <w:szCs w:val="24"/>
        </w:rPr>
        <w:tab/>
        <w:t>An authorized representative of the Engineer and the Contractor shall be present (1) to gain access to the EPD, and (2) during all examinations of the EPD. At no time will the EPD be allowed sole possession by either party.</w:t>
      </w:r>
    </w:p>
    <w:p w14:paraId="64B4E9B5" w14:textId="77777777" w:rsidR="005D77F1" w:rsidRPr="00665944" w:rsidRDefault="005D77F1" w:rsidP="00A707CA">
      <w:pPr>
        <w:spacing w:after="160"/>
        <w:ind w:left="720" w:hanging="360"/>
        <w:rPr>
          <w:rFonts w:ascii="Trebuchet MS" w:hAnsi="Trebuchet MS" w:cs="Arial"/>
          <w:sz w:val="24"/>
          <w:szCs w:val="24"/>
        </w:rPr>
      </w:pPr>
      <w:r w:rsidRPr="00665944">
        <w:rPr>
          <w:rFonts w:ascii="Trebuchet MS" w:hAnsi="Trebuchet MS" w:cs="Arial"/>
          <w:sz w:val="24"/>
          <w:szCs w:val="24"/>
        </w:rPr>
        <w:t>(6)</w:t>
      </w:r>
      <w:r w:rsidRPr="00665944">
        <w:rPr>
          <w:rFonts w:ascii="Trebuchet MS" w:hAnsi="Trebuchet MS" w:cs="Arial"/>
          <w:sz w:val="24"/>
          <w:szCs w:val="24"/>
        </w:rPr>
        <w:tab/>
        <w:t xml:space="preserve">Following each examination, the EPD will be resealed and returned to the </w:t>
      </w:r>
      <w:r w:rsidR="00A707CA" w:rsidRPr="00665944">
        <w:rPr>
          <w:rFonts w:ascii="Trebuchet MS" w:hAnsi="Trebuchet MS" w:cs="Arial"/>
          <w:sz w:val="24"/>
          <w:szCs w:val="24"/>
        </w:rPr>
        <w:t>escrow institution</w:t>
      </w:r>
      <w:r w:rsidRPr="00665944">
        <w:rPr>
          <w:rFonts w:ascii="Trebuchet MS" w:hAnsi="Trebuchet MS" w:cs="Arial"/>
          <w:sz w:val="24"/>
          <w:szCs w:val="24"/>
        </w:rPr>
        <w:t>, in the presence of an authorized representative of the Engineer and the Contractor.</w:t>
      </w:r>
    </w:p>
    <w:p w14:paraId="0B76A531" w14:textId="77777777" w:rsidR="005D77F1" w:rsidRPr="00665944" w:rsidRDefault="005D77F1" w:rsidP="00A707CA">
      <w:pPr>
        <w:spacing w:after="160"/>
        <w:ind w:left="360" w:hanging="360"/>
        <w:rPr>
          <w:rFonts w:ascii="Trebuchet MS" w:hAnsi="Trebuchet MS" w:cs="Arial"/>
          <w:sz w:val="24"/>
          <w:szCs w:val="24"/>
        </w:rPr>
      </w:pPr>
      <w:r w:rsidRPr="00312A92">
        <w:rPr>
          <w:rFonts w:ascii="Trebuchet MS" w:hAnsi="Trebuchet MS" w:cs="Arial"/>
          <w:i/>
          <w:iCs/>
          <w:sz w:val="24"/>
          <w:szCs w:val="24"/>
        </w:rPr>
        <w:t>(e)</w:t>
      </w:r>
      <w:r w:rsidRPr="00665944">
        <w:rPr>
          <w:rFonts w:ascii="Trebuchet MS" w:hAnsi="Trebuchet MS" w:cs="Arial"/>
          <w:sz w:val="24"/>
          <w:szCs w:val="24"/>
        </w:rPr>
        <w:tab/>
      </w:r>
      <w:r w:rsidRPr="00665944">
        <w:rPr>
          <w:rFonts w:ascii="Trebuchet MS" w:hAnsi="Trebuchet MS" w:cs="Arial"/>
          <w:i/>
          <w:sz w:val="24"/>
          <w:szCs w:val="24"/>
        </w:rPr>
        <w:t>Subcontracting.</w:t>
      </w:r>
      <w:r w:rsidRPr="00665944">
        <w:rPr>
          <w:rFonts w:ascii="Trebuchet MS" w:hAnsi="Trebuchet MS" w:cs="Arial"/>
          <w:sz w:val="24"/>
          <w:szCs w:val="24"/>
        </w:rPr>
        <w:t xml:space="preserve"> If the successful bidder's proposal is based upon subcontracting any part of the work, the successful bidder shall then require each subcontractor whose total subcontract price exceeds $200,000 to provide a separate EPD to the Engineer, to be submitted at the same time as the bidder's EPD. The EPDs shall comply with the requirements of this subsection. A separate EPD affidavit, signed by the individual subcontractor, shall accompany the subcontractor's EPD.</w:t>
      </w:r>
    </w:p>
    <w:p w14:paraId="61ABF382" w14:textId="77777777" w:rsidR="005D77F1" w:rsidRPr="00665944" w:rsidRDefault="00682E31" w:rsidP="00A707CA">
      <w:pPr>
        <w:spacing w:after="160"/>
        <w:ind w:left="360" w:hanging="360"/>
        <w:rPr>
          <w:rFonts w:ascii="Trebuchet MS" w:hAnsi="Trebuchet MS" w:cs="Arial"/>
          <w:sz w:val="24"/>
          <w:szCs w:val="24"/>
        </w:rPr>
      </w:pPr>
      <w:r w:rsidRPr="00665944">
        <w:rPr>
          <w:rFonts w:ascii="Trebuchet MS" w:hAnsi="Trebuchet MS" w:cs="Arial"/>
          <w:sz w:val="24"/>
          <w:szCs w:val="24"/>
        </w:rPr>
        <w:tab/>
      </w:r>
      <w:r w:rsidR="005D77F1" w:rsidRPr="00665944">
        <w:rPr>
          <w:rFonts w:ascii="Trebuchet MS" w:hAnsi="Trebuchet MS" w:cs="Arial"/>
          <w:sz w:val="24"/>
          <w:szCs w:val="24"/>
        </w:rPr>
        <w:t>If the Contractor wishes to subcontract any portion of the work after executing the Contract, or change subcontractors, the Engineer retains the right to require the subcontractor to submit an EPD in accordance with this subsection before the subcontract is approved.</w:t>
      </w:r>
    </w:p>
    <w:p w14:paraId="1CA9B099" w14:textId="77777777" w:rsidR="005D77F1" w:rsidRPr="00665944" w:rsidRDefault="005D77F1" w:rsidP="00665944">
      <w:pPr>
        <w:pageBreakBefore/>
        <w:spacing w:after="160"/>
        <w:ind w:left="360" w:hanging="360"/>
        <w:rPr>
          <w:rFonts w:ascii="Trebuchet MS" w:hAnsi="Trebuchet MS" w:cs="Arial"/>
          <w:sz w:val="24"/>
          <w:szCs w:val="24"/>
        </w:rPr>
      </w:pPr>
      <w:r w:rsidRPr="00312A92">
        <w:rPr>
          <w:rFonts w:ascii="Trebuchet MS" w:hAnsi="Trebuchet MS" w:cs="Arial"/>
          <w:i/>
          <w:iCs/>
          <w:sz w:val="24"/>
          <w:szCs w:val="24"/>
        </w:rPr>
        <w:lastRenderedPageBreak/>
        <w:t>(f)</w:t>
      </w:r>
      <w:r w:rsidRPr="00665944">
        <w:rPr>
          <w:rFonts w:ascii="Trebuchet MS" w:hAnsi="Trebuchet MS" w:cs="Arial"/>
          <w:sz w:val="24"/>
          <w:szCs w:val="24"/>
        </w:rPr>
        <w:tab/>
      </w:r>
      <w:r w:rsidRPr="00665944">
        <w:rPr>
          <w:rFonts w:ascii="Trebuchet MS" w:hAnsi="Trebuchet MS" w:cs="Arial"/>
          <w:i/>
          <w:sz w:val="24"/>
          <w:szCs w:val="24"/>
        </w:rPr>
        <w:t>Return.</w:t>
      </w:r>
      <w:r w:rsidRPr="00665944">
        <w:rPr>
          <w:rFonts w:ascii="Trebuchet MS" w:hAnsi="Trebuchet MS" w:cs="Arial"/>
          <w:sz w:val="24"/>
          <w:szCs w:val="24"/>
        </w:rPr>
        <w:t xml:space="preserve"> The EPDs will be returned to the Contractor and subcontractors after all claims, disputes, and litigation have been resolved, final payment on the Contract has been made and accepted, and the Contractor submits a signed statement that no further claims shall be submitted on any project to which the EPDs are applicable.</w:t>
      </w:r>
    </w:p>
    <w:p w14:paraId="0C3E4A98" w14:textId="77777777" w:rsidR="00312A92" w:rsidRDefault="00312A92" w:rsidP="00A707CA">
      <w:pPr>
        <w:spacing w:after="160"/>
        <w:ind w:left="360" w:hanging="360"/>
        <w:jc w:val="both"/>
        <w:rPr>
          <w:rFonts w:ascii="Trebuchet MS" w:hAnsi="Trebuchet MS" w:cs="Arial"/>
        </w:rPr>
      </w:pPr>
    </w:p>
    <w:tbl>
      <w:tblPr>
        <w:tblStyle w:val="TableGrid"/>
        <w:tblW w:w="0" w:type="auto"/>
        <w:tblInd w:w="1165" w:type="dxa"/>
        <w:tblLook w:val="04A0" w:firstRow="1" w:lastRow="0" w:firstColumn="1" w:lastColumn="0" w:noHBand="0" w:noVBand="1"/>
        <w:tblCaption w:val="Escrow of Proposal Documentation Affidavit"/>
      </w:tblPr>
      <w:tblGrid>
        <w:gridCol w:w="8010"/>
      </w:tblGrid>
      <w:tr w:rsidR="00312A92" w14:paraId="26301B71" w14:textId="77777777" w:rsidTr="00312A92">
        <w:trPr>
          <w:cantSplit/>
          <w:tblHeader/>
        </w:trPr>
        <w:tc>
          <w:tcPr>
            <w:tcW w:w="8010" w:type="dxa"/>
          </w:tcPr>
          <w:p w14:paraId="591F709D" w14:textId="0D3E2D92" w:rsidR="00312A92" w:rsidRDefault="00312A92" w:rsidP="00312A92">
            <w:pPr>
              <w:spacing w:after="160"/>
              <w:jc w:val="center"/>
              <w:rPr>
                <w:rFonts w:ascii="Trebuchet MS" w:hAnsi="Trebuchet MS" w:cs="Arial"/>
              </w:rPr>
            </w:pPr>
            <w:r w:rsidRPr="00665944">
              <w:rPr>
                <w:rFonts w:ascii="Trebuchet MS" w:hAnsi="Trebuchet MS" w:cs="Arial"/>
                <w:sz w:val="24"/>
                <w:szCs w:val="24"/>
              </w:rPr>
              <w:t>Escrow</w:t>
            </w:r>
            <w:r>
              <w:rPr>
                <w:rFonts w:ascii="Trebuchet MS" w:hAnsi="Trebuchet MS" w:cs="Arial"/>
                <w:sz w:val="24"/>
                <w:szCs w:val="24"/>
              </w:rPr>
              <w:t xml:space="preserve"> o</w:t>
            </w:r>
            <w:r w:rsidRPr="00665944">
              <w:rPr>
                <w:rFonts w:ascii="Trebuchet MS" w:hAnsi="Trebuchet MS" w:cs="Arial"/>
                <w:sz w:val="24"/>
                <w:szCs w:val="24"/>
              </w:rPr>
              <w:t>f Proposal Documentation Affidavit</w:t>
            </w:r>
          </w:p>
        </w:tc>
      </w:tr>
      <w:tr w:rsidR="00312A92" w14:paraId="03A74B8D" w14:textId="77777777" w:rsidTr="00312A92">
        <w:tc>
          <w:tcPr>
            <w:tcW w:w="8010" w:type="dxa"/>
          </w:tcPr>
          <w:p w14:paraId="72D956FF" w14:textId="53F00F69" w:rsidR="00312A92" w:rsidRPr="00665944" w:rsidRDefault="00312A92" w:rsidP="00312A92">
            <w:pPr>
              <w:spacing w:after="160"/>
              <w:jc w:val="both"/>
              <w:rPr>
                <w:rFonts w:ascii="Trebuchet MS" w:hAnsi="Trebuchet MS" w:cs="Arial"/>
                <w:sz w:val="24"/>
                <w:szCs w:val="24"/>
              </w:rPr>
            </w:pPr>
            <w:r w:rsidRPr="00665944">
              <w:rPr>
                <w:rFonts w:ascii="Trebuchet MS" w:hAnsi="Trebuchet MS" w:cs="Arial"/>
                <w:sz w:val="24"/>
                <w:szCs w:val="24"/>
              </w:rPr>
              <w:t xml:space="preserve">The undersigned hereby certifies that the </w:t>
            </w:r>
            <w:r>
              <w:rPr>
                <w:rFonts w:ascii="Trebuchet MS" w:hAnsi="Trebuchet MS" w:cs="Arial"/>
                <w:sz w:val="24"/>
                <w:szCs w:val="24"/>
              </w:rPr>
              <w:t>E</w:t>
            </w:r>
            <w:r w:rsidRPr="00665944">
              <w:rPr>
                <w:rFonts w:ascii="Trebuchet MS" w:hAnsi="Trebuchet MS" w:cs="Arial"/>
                <w:sz w:val="24"/>
                <w:szCs w:val="24"/>
              </w:rPr>
              <w:t xml:space="preserve">scrow of </w:t>
            </w:r>
            <w:r>
              <w:rPr>
                <w:rFonts w:ascii="Trebuchet MS" w:hAnsi="Trebuchet MS" w:cs="Arial"/>
                <w:sz w:val="24"/>
                <w:szCs w:val="24"/>
              </w:rPr>
              <w:t>P</w:t>
            </w:r>
            <w:r w:rsidRPr="00665944">
              <w:rPr>
                <w:rFonts w:ascii="Trebuchet MS" w:hAnsi="Trebuchet MS" w:cs="Arial"/>
                <w:sz w:val="24"/>
                <w:szCs w:val="24"/>
              </w:rPr>
              <w:t xml:space="preserve">roposal </w:t>
            </w:r>
            <w:r>
              <w:rPr>
                <w:rFonts w:ascii="Trebuchet MS" w:hAnsi="Trebuchet MS" w:cs="Arial"/>
                <w:sz w:val="24"/>
                <w:szCs w:val="24"/>
              </w:rPr>
              <w:t>D</w:t>
            </w:r>
            <w:r w:rsidRPr="00665944">
              <w:rPr>
                <w:rFonts w:ascii="Trebuchet MS" w:hAnsi="Trebuchet MS" w:cs="Arial"/>
                <w:sz w:val="24"/>
                <w:szCs w:val="24"/>
              </w:rPr>
              <w:t xml:space="preserve">ocumentation contained herein contains all of the information which was used to develop the proposal and that </w:t>
            </w:r>
            <w:r>
              <w:rPr>
                <w:rFonts w:ascii="Trebuchet MS" w:hAnsi="Trebuchet MS" w:cs="Arial"/>
                <w:sz w:val="24"/>
                <w:szCs w:val="24"/>
              </w:rPr>
              <w:t>I</w:t>
            </w:r>
            <w:r w:rsidRPr="00665944">
              <w:rPr>
                <w:rFonts w:ascii="Trebuchet MS" w:hAnsi="Trebuchet MS" w:cs="Arial"/>
                <w:sz w:val="24"/>
                <w:szCs w:val="24"/>
              </w:rPr>
              <w:t xml:space="preserve"> have personally examined these contents and that the documentation is correct and complete in accordance with subsection 103.05. Submittal by the </w:t>
            </w:r>
            <w:r>
              <w:rPr>
                <w:rFonts w:ascii="Trebuchet MS" w:hAnsi="Trebuchet MS" w:cs="Arial"/>
                <w:sz w:val="24"/>
                <w:szCs w:val="24"/>
              </w:rPr>
              <w:t>C</w:t>
            </w:r>
            <w:r w:rsidRPr="00665944">
              <w:rPr>
                <w:rFonts w:ascii="Trebuchet MS" w:hAnsi="Trebuchet MS" w:cs="Arial"/>
                <w:sz w:val="24"/>
                <w:szCs w:val="24"/>
              </w:rPr>
              <w:t>ontractor of a claim which is not consistent with the contents of these proposal preparation documents shall result in denial of the claim.</w:t>
            </w:r>
          </w:p>
          <w:p w14:paraId="16EB6003" w14:textId="77777777" w:rsidR="00312A92" w:rsidRPr="00665944" w:rsidRDefault="00312A92" w:rsidP="00312A92">
            <w:pPr>
              <w:spacing w:after="160"/>
              <w:jc w:val="both"/>
              <w:rPr>
                <w:rFonts w:ascii="Trebuchet MS" w:hAnsi="Trebuchet MS" w:cs="Arial"/>
                <w:sz w:val="24"/>
                <w:szCs w:val="24"/>
                <w:u w:val="single"/>
              </w:rPr>
            </w:pPr>
            <w:r w:rsidRPr="00665944">
              <w:rPr>
                <w:rFonts w:ascii="Trebuchet MS" w:hAnsi="Trebuchet MS" w:cs="Arial"/>
                <w:sz w:val="24"/>
                <w:szCs w:val="24"/>
              </w:rPr>
              <w:t>By:</w:t>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p>
          <w:p w14:paraId="5ECF11CE" w14:textId="77777777" w:rsidR="00312A92" w:rsidRPr="00665944" w:rsidRDefault="00312A92" w:rsidP="00312A92">
            <w:pPr>
              <w:spacing w:after="160"/>
              <w:jc w:val="both"/>
              <w:rPr>
                <w:rFonts w:ascii="Trebuchet MS" w:hAnsi="Trebuchet MS" w:cs="Arial"/>
                <w:sz w:val="24"/>
                <w:szCs w:val="24"/>
                <w:u w:val="single"/>
              </w:rPr>
            </w:pPr>
            <w:r w:rsidRPr="00665944">
              <w:rPr>
                <w:rFonts w:ascii="Trebuchet MS" w:hAnsi="Trebuchet MS" w:cs="Arial"/>
                <w:sz w:val="24"/>
                <w:szCs w:val="24"/>
              </w:rPr>
              <w:t>Title:</w:t>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p>
          <w:p w14:paraId="48EAE6F3" w14:textId="77777777" w:rsidR="00312A92" w:rsidRPr="00665944" w:rsidRDefault="00312A92" w:rsidP="00312A92">
            <w:pPr>
              <w:spacing w:after="160"/>
              <w:jc w:val="both"/>
              <w:rPr>
                <w:rFonts w:ascii="Trebuchet MS" w:hAnsi="Trebuchet MS" w:cs="Arial"/>
                <w:sz w:val="24"/>
                <w:szCs w:val="24"/>
                <w:u w:val="single"/>
              </w:rPr>
            </w:pPr>
            <w:r w:rsidRPr="00665944">
              <w:rPr>
                <w:rFonts w:ascii="Trebuchet MS" w:hAnsi="Trebuchet MS" w:cs="Arial"/>
                <w:sz w:val="24"/>
                <w:szCs w:val="24"/>
              </w:rPr>
              <w:t>Firm:</w:t>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p>
          <w:p w14:paraId="76AACD51" w14:textId="77777777" w:rsidR="00312A92" w:rsidRPr="00665944" w:rsidRDefault="00312A92" w:rsidP="00312A92">
            <w:pPr>
              <w:spacing w:after="160"/>
              <w:jc w:val="both"/>
              <w:rPr>
                <w:rFonts w:ascii="Trebuchet MS" w:hAnsi="Trebuchet MS" w:cs="Arial"/>
                <w:sz w:val="24"/>
                <w:szCs w:val="24"/>
                <w:u w:val="single"/>
              </w:rPr>
            </w:pPr>
            <w:r w:rsidRPr="00665944">
              <w:rPr>
                <w:rFonts w:ascii="Trebuchet MS" w:hAnsi="Trebuchet MS" w:cs="Arial"/>
                <w:sz w:val="24"/>
                <w:szCs w:val="24"/>
              </w:rPr>
              <w:t>Date of Submission:</w:t>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p>
          <w:p w14:paraId="1193A2DA" w14:textId="77777777" w:rsidR="00312A92" w:rsidRPr="00665944" w:rsidRDefault="00312A92" w:rsidP="00312A92">
            <w:pPr>
              <w:spacing w:after="160"/>
              <w:jc w:val="both"/>
              <w:rPr>
                <w:rFonts w:ascii="Trebuchet MS" w:hAnsi="Trebuchet MS" w:cs="Arial"/>
                <w:sz w:val="24"/>
                <w:szCs w:val="24"/>
                <w:u w:val="single"/>
              </w:rPr>
            </w:pPr>
            <w:r w:rsidRPr="00665944">
              <w:rPr>
                <w:rFonts w:ascii="Trebuchet MS" w:hAnsi="Trebuchet MS" w:cs="Arial"/>
                <w:sz w:val="24"/>
                <w:szCs w:val="24"/>
              </w:rPr>
              <w:t>Project Number:</w:t>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r w:rsidRPr="00665944">
              <w:rPr>
                <w:rFonts w:ascii="Trebuchet MS" w:hAnsi="Trebuchet MS" w:cs="Arial"/>
                <w:sz w:val="24"/>
                <w:szCs w:val="24"/>
                <w:u w:val="single"/>
              </w:rPr>
              <w:tab/>
            </w:r>
          </w:p>
          <w:p w14:paraId="1E998C47" w14:textId="77777777" w:rsidR="00312A92" w:rsidRDefault="00312A92" w:rsidP="00A707CA">
            <w:pPr>
              <w:spacing w:after="160"/>
              <w:jc w:val="both"/>
              <w:rPr>
                <w:rFonts w:ascii="Trebuchet MS" w:hAnsi="Trebuchet MS" w:cs="Arial"/>
              </w:rPr>
            </w:pPr>
          </w:p>
        </w:tc>
      </w:tr>
    </w:tbl>
    <w:p w14:paraId="0CCD5207" w14:textId="77777777" w:rsidR="00312A92" w:rsidRPr="00665944" w:rsidRDefault="00312A92" w:rsidP="00A707CA">
      <w:pPr>
        <w:spacing w:after="160"/>
        <w:ind w:left="360" w:hanging="360"/>
        <w:jc w:val="both"/>
        <w:rPr>
          <w:rFonts w:ascii="Trebuchet MS" w:hAnsi="Trebuchet MS" w:cs="Arial"/>
        </w:rPr>
      </w:pPr>
    </w:p>
    <w:sectPr w:rsidR="00312A92" w:rsidRPr="00665944" w:rsidSect="001D2894">
      <w:headerReference w:type="default" r:id="rId6"/>
      <w:headerReference w:type="first" r:id="rId7"/>
      <w:type w:val="continuous"/>
      <w:pgSz w:w="12240" w:h="15840"/>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A89B2" w14:textId="77777777" w:rsidR="00AB76E5" w:rsidRDefault="00AB76E5" w:rsidP="00B6784C">
      <w:r>
        <w:separator/>
      </w:r>
    </w:p>
  </w:endnote>
  <w:endnote w:type="continuationSeparator" w:id="0">
    <w:p w14:paraId="415D34DA" w14:textId="77777777" w:rsidR="00AB76E5" w:rsidRDefault="00AB76E5" w:rsidP="00B6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11AA" w14:textId="77777777" w:rsidR="00AB76E5" w:rsidRDefault="00AB76E5" w:rsidP="00B6784C">
      <w:r>
        <w:separator/>
      </w:r>
    </w:p>
  </w:footnote>
  <w:footnote w:type="continuationSeparator" w:id="0">
    <w:p w14:paraId="4B7B066D" w14:textId="77777777" w:rsidR="00AB76E5" w:rsidRDefault="00AB76E5" w:rsidP="00B6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393443"/>
      <w:docPartObj>
        <w:docPartGallery w:val="Page Numbers (Top of Page)"/>
        <w:docPartUnique/>
      </w:docPartObj>
    </w:sdtPr>
    <w:sdtEndPr>
      <w:rPr>
        <w:rFonts w:ascii="Trebuchet MS" w:hAnsi="Trebuchet MS" w:cs="Arial"/>
        <w:b/>
        <w:noProof/>
        <w:sz w:val="28"/>
        <w:szCs w:val="28"/>
      </w:rPr>
    </w:sdtEndPr>
    <w:sdtContent>
      <w:p w14:paraId="1E2FBE8C" w14:textId="36DE4AED" w:rsidR="001D2894" w:rsidRPr="00C5462F" w:rsidRDefault="001D2894" w:rsidP="001D2894">
        <w:pPr>
          <w:ind w:left="1080" w:hanging="1080"/>
          <w:jc w:val="right"/>
          <w:rPr>
            <w:rFonts w:ascii="Trebuchet MS" w:hAnsi="Trebuchet MS" w:cs="Arial"/>
            <w:b/>
            <w:sz w:val="28"/>
            <w:szCs w:val="28"/>
          </w:rPr>
        </w:pPr>
        <w:r w:rsidRPr="00C5462F">
          <w:rPr>
            <w:rFonts w:ascii="Trebuchet MS" w:hAnsi="Trebuchet MS" w:cs="Arial"/>
            <w:b/>
            <w:sz w:val="28"/>
            <w:szCs w:val="28"/>
          </w:rPr>
          <w:t>October 1, 202</w:t>
        </w:r>
        <w:r w:rsidR="00CD6051" w:rsidRPr="00C5462F">
          <w:rPr>
            <w:rFonts w:ascii="Trebuchet MS" w:hAnsi="Trebuchet MS" w:cs="Arial"/>
            <w:b/>
            <w:sz w:val="28"/>
            <w:szCs w:val="28"/>
          </w:rPr>
          <w:t>3</w:t>
        </w:r>
      </w:p>
      <w:p w14:paraId="28ADBFA7" w14:textId="77777777" w:rsidR="001D2894" w:rsidRPr="00C5462F" w:rsidRDefault="001D2894" w:rsidP="001D2894">
        <w:pPr>
          <w:pStyle w:val="Header"/>
          <w:jc w:val="right"/>
          <w:rPr>
            <w:rFonts w:ascii="Trebuchet MS" w:hAnsi="Trebuchet MS" w:cs="Arial"/>
            <w:b/>
            <w:sz w:val="28"/>
            <w:szCs w:val="28"/>
          </w:rPr>
        </w:pPr>
      </w:p>
      <w:p w14:paraId="2C9E2563" w14:textId="5F1EA1A0" w:rsidR="001D2894" w:rsidRPr="00C5462F" w:rsidRDefault="001D2894" w:rsidP="001D2894">
        <w:pPr>
          <w:pStyle w:val="Header"/>
          <w:jc w:val="center"/>
          <w:rPr>
            <w:rFonts w:ascii="Trebuchet MS" w:hAnsi="Trebuchet MS" w:cs="Arial"/>
            <w:b/>
            <w:sz w:val="28"/>
            <w:szCs w:val="28"/>
          </w:rPr>
        </w:pPr>
        <w:r w:rsidRPr="00C5462F">
          <w:rPr>
            <w:rFonts w:ascii="Trebuchet MS" w:hAnsi="Trebuchet MS" w:cs="Arial"/>
            <w:b/>
            <w:sz w:val="28"/>
            <w:szCs w:val="28"/>
          </w:rPr>
          <w:fldChar w:fldCharType="begin"/>
        </w:r>
        <w:r w:rsidRPr="00C5462F">
          <w:rPr>
            <w:rFonts w:ascii="Trebuchet MS" w:hAnsi="Trebuchet MS" w:cs="Arial"/>
            <w:b/>
            <w:sz w:val="28"/>
            <w:szCs w:val="28"/>
          </w:rPr>
          <w:instrText xml:space="preserve"> PAGE   \* MERGEFORMAT </w:instrText>
        </w:r>
        <w:r w:rsidRPr="00C5462F">
          <w:rPr>
            <w:rFonts w:ascii="Trebuchet MS" w:hAnsi="Trebuchet MS" w:cs="Arial"/>
            <w:b/>
            <w:sz w:val="28"/>
            <w:szCs w:val="28"/>
          </w:rPr>
          <w:fldChar w:fldCharType="separate"/>
        </w:r>
        <w:r w:rsidR="00C5462F">
          <w:rPr>
            <w:rFonts w:ascii="Trebuchet MS" w:hAnsi="Trebuchet MS" w:cs="Arial"/>
            <w:b/>
            <w:noProof/>
            <w:sz w:val="28"/>
            <w:szCs w:val="28"/>
          </w:rPr>
          <w:t>3</w:t>
        </w:r>
        <w:r w:rsidRPr="00C5462F">
          <w:rPr>
            <w:rFonts w:ascii="Trebuchet MS" w:hAnsi="Trebuchet MS" w:cs="Arial"/>
            <w:b/>
            <w:noProof/>
            <w:sz w:val="28"/>
            <w:szCs w:val="28"/>
          </w:rPr>
          <w:fldChar w:fldCharType="end"/>
        </w:r>
      </w:p>
    </w:sdtContent>
  </w:sdt>
  <w:p w14:paraId="68522BA0" w14:textId="77777777" w:rsidR="00B6784C" w:rsidRDefault="00B67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181B" w14:textId="77777777" w:rsidR="00E2413C" w:rsidRPr="00C5462F" w:rsidRDefault="00E2413C" w:rsidP="00E2413C">
    <w:pPr>
      <w:jc w:val="right"/>
      <w:rPr>
        <w:rFonts w:ascii="Trebuchet MS" w:hAnsi="Trebuchet MS" w:cs="Arial"/>
        <w:b/>
        <w:sz w:val="28"/>
        <w:szCs w:val="28"/>
      </w:rPr>
    </w:pPr>
    <w:r w:rsidRPr="00C5462F">
      <w:rPr>
        <w:rFonts w:ascii="Trebuchet MS" w:hAnsi="Trebuchet MS" w:cs="Arial"/>
        <w:b/>
        <w:sz w:val="28"/>
        <w:szCs w:val="28"/>
      </w:rPr>
      <w:t>October 1, 2023</w:t>
    </w:r>
  </w:p>
  <w:p w14:paraId="53DBC037" w14:textId="77777777" w:rsidR="00E2413C" w:rsidRPr="00C5462F" w:rsidRDefault="00E2413C" w:rsidP="00E2413C">
    <w:pPr>
      <w:rPr>
        <w:rFonts w:ascii="Trebuchet MS" w:hAnsi="Trebuchet MS"/>
        <w:b/>
        <w:sz w:val="28"/>
        <w:szCs w:val="28"/>
      </w:rPr>
    </w:pPr>
  </w:p>
  <w:p w14:paraId="3069CE28" w14:textId="77777777" w:rsidR="00E2413C" w:rsidRPr="00C5462F" w:rsidRDefault="00E2413C" w:rsidP="00E2413C">
    <w:pPr>
      <w:jc w:val="center"/>
      <w:rPr>
        <w:rFonts w:ascii="Trebuchet MS" w:hAnsi="Trebuchet MS" w:cs="Arial"/>
        <w:b/>
        <w:sz w:val="28"/>
        <w:szCs w:val="28"/>
      </w:rPr>
    </w:pPr>
    <w:r w:rsidRPr="00C5462F">
      <w:rPr>
        <w:rFonts w:ascii="Trebuchet MS" w:hAnsi="Trebuchet MS" w:cs="Arial"/>
        <w:b/>
        <w:sz w:val="28"/>
        <w:szCs w:val="28"/>
      </w:rPr>
      <w:t>Revision of Section 103</w:t>
    </w:r>
  </w:p>
  <w:p w14:paraId="661695A4" w14:textId="77777777" w:rsidR="00E2413C" w:rsidRPr="00C5462F" w:rsidRDefault="00E2413C" w:rsidP="00E2413C">
    <w:pPr>
      <w:jc w:val="center"/>
      <w:rPr>
        <w:rFonts w:ascii="Trebuchet MS" w:hAnsi="Trebuchet MS" w:cs="Arial"/>
        <w:b/>
        <w:sz w:val="28"/>
        <w:szCs w:val="28"/>
      </w:rPr>
    </w:pPr>
    <w:r w:rsidRPr="00C5462F">
      <w:rPr>
        <w:rFonts w:ascii="Trebuchet MS" w:hAnsi="Trebuchet MS" w:cs="Arial"/>
        <w:b/>
        <w:sz w:val="28"/>
        <w:szCs w:val="28"/>
      </w:rPr>
      <w:t>Escrow of Proposal Documentation</w:t>
    </w:r>
  </w:p>
  <w:p w14:paraId="28BADDD5" w14:textId="77777777" w:rsidR="00E2413C" w:rsidRDefault="00E24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F1"/>
    <w:rsid w:val="00052F36"/>
    <w:rsid w:val="00092B39"/>
    <w:rsid w:val="00104103"/>
    <w:rsid w:val="001430D6"/>
    <w:rsid w:val="001B2550"/>
    <w:rsid w:val="001D2894"/>
    <w:rsid w:val="002656D6"/>
    <w:rsid w:val="00290225"/>
    <w:rsid w:val="00296839"/>
    <w:rsid w:val="002C27B5"/>
    <w:rsid w:val="002E7216"/>
    <w:rsid w:val="002F5266"/>
    <w:rsid w:val="00312A92"/>
    <w:rsid w:val="00382D9B"/>
    <w:rsid w:val="00397F9D"/>
    <w:rsid w:val="003B5C20"/>
    <w:rsid w:val="003F6D72"/>
    <w:rsid w:val="004350B4"/>
    <w:rsid w:val="00436E00"/>
    <w:rsid w:val="004A6F20"/>
    <w:rsid w:val="004F5625"/>
    <w:rsid w:val="00543244"/>
    <w:rsid w:val="00574DE5"/>
    <w:rsid w:val="005D4BC2"/>
    <w:rsid w:val="005D77F1"/>
    <w:rsid w:val="00606817"/>
    <w:rsid w:val="006100F6"/>
    <w:rsid w:val="00645E03"/>
    <w:rsid w:val="00665944"/>
    <w:rsid w:val="00682E31"/>
    <w:rsid w:val="00687DD6"/>
    <w:rsid w:val="00783340"/>
    <w:rsid w:val="008424D2"/>
    <w:rsid w:val="00844895"/>
    <w:rsid w:val="00845D69"/>
    <w:rsid w:val="009B6367"/>
    <w:rsid w:val="009C7C98"/>
    <w:rsid w:val="009F0DB4"/>
    <w:rsid w:val="00A1189D"/>
    <w:rsid w:val="00A34014"/>
    <w:rsid w:val="00A707CA"/>
    <w:rsid w:val="00A83E1E"/>
    <w:rsid w:val="00AA63FC"/>
    <w:rsid w:val="00AB76E5"/>
    <w:rsid w:val="00B6784C"/>
    <w:rsid w:val="00BB25E7"/>
    <w:rsid w:val="00C1282A"/>
    <w:rsid w:val="00C5462F"/>
    <w:rsid w:val="00C55910"/>
    <w:rsid w:val="00CD6051"/>
    <w:rsid w:val="00D97506"/>
    <w:rsid w:val="00DC3ABC"/>
    <w:rsid w:val="00E07435"/>
    <w:rsid w:val="00E2413C"/>
    <w:rsid w:val="00E24A79"/>
    <w:rsid w:val="00E63C1B"/>
    <w:rsid w:val="00E7523F"/>
    <w:rsid w:val="00E76D51"/>
    <w:rsid w:val="00F246D8"/>
    <w:rsid w:val="00F8316D"/>
    <w:rsid w:val="00FE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BBEA64"/>
  <w15:docId w15:val="{170725A0-DC69-498B-80B6-3C11DABC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CG Times" w:hAnsi="CG Times" w:cs="CG Times"/>
    </w:rPr>
  </w:style>
  <w:style w:type="paragraph" w:styleId="Heading1">
    <w:name w:val="heading 1"/>
    <w:basedOn w:val="Normal"/>
    <w:next w:val="Normal"/>
    <w:qFormat/>
    <w:rsid w:val="00D97506"/>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0"/>
    </w:pPr>
    <w:rPr>
      <w:rFonts w:ascii="Trebuchet MS" w:hAnsi="Trebuchet MS" w:cs="Arial"/>
      <w:b/>
      <w:sz w:val="48"/>
      <w:szCs w:val="28"/>
    </w:rPr>
  </w:style>
  <w:style w:type="paragraph" w:styleId="Heading2">
    <w:name w:val="heading 2"/>
    <w:basedOn w:val="Normal"/>
    <w:next w:val="Normal"/>
    <w:link w:val="Heading2Char"/>
    <w:unhideWhenUsed/>
    <w:qFormat/>
    <w:rsid w:val="00312A92"/>
    <w:pPr>
      <w:keepNext/>
      <w:keepLines/>
      <w:spacing w:before="40"/>
      <w:outlineLvl w:val="1"/>
    </w:pPr>
    <w:rPr>
      <w:rFonts w:ascii="Trebuchet MS" w:eastAsiaTheme="majorEastAsia" w:hAnsi="Trebuchet MS" w:cstheme="majorBidi"/>
      <w:b/>
      <w:sz w:val="24"/>
      <w:szCs w:val="26"/>
    </w:rPr>
  </w:style>
  <w:style w:type="paragraph" w:styleId="Heading4">
    <w:name w:val="heading 4"/>
    <w:basedOn w:val="Normal"/>
    <w:next w:val="Normal"/>
    <w:qFormat/>
    <w:rsid w:val="00D97506"/>
    <w:pPr>
      <w:outlineLvl w:val="3"/>
    </w:pPr>
    <w:rPr>
      <w:rFonts w:ascii="Trebuchet MS" w:hAnsi="Trebuchet MS"/>
      <w:b/>
      <w:bCs/>
      <w:sz w:val="24"/>
      <w:szCs w:val="24"/>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table" w:styleId="TableGrid">
    <w:name w:val="Table Grid"/>
    <w:basedOn w:val="TableNormal"/>
    <w:rsid w:val="004F562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6784C"/>
    <w:rPr>
      <w:rFonts w:ascii="CG Times" w:hAnsi="CG Times" w:cs="CG Times"/>
    </w:rPr>
  </w:style>
  <w:style w:type="character" w:customStyle="1" w:styleId="Heading2Char">
    <w:name w:val="Heading 2 Char"/>
    <w:basedOn w:val="DefaultParagraphFont"/>
    <w:link w:val="Heading2"/>
    <w:rsid w:val="00312A92"/>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103 Escrow of Proposal Documentation Affidavit July 21, 1999</vt:lpstr>
    </vt:vector>
  </TitlesOfParts>
  <Company>CDOT</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Escrow of Proposal Documentation Affidavit July 21, 1999</dc:title>
  <dc:creator>coyv</dc:creator>
  <cp:lastModifiedBy>Kayen, Michele</cp:lastModifiedBy>
  <cp:revision>2</cp:revision>
  <cp:lastPrinted>2005-07-14T14:14:00Z</cp:lastPrinted>
  <dcterms:created xsi:type="dcterms:W3CDTF">2025-02-06T21:41:00Z</dcterms:created>
  <dcterms:modified xsi:type="dcterms:W3CDTF">2025-02-06T21:41:00Z</dcterms:modified>
</cp:coreProperties>
</file>