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1E2C" w14:textId="77777777" w:rsidR="00DB2BD3" w:rsidRPr="003531D0" w:rsidRDefault="00DB2BD3" w:rsidP="00DB2BD3">
      <w:pPr>
        <w:jc w:val="center"/>
        <w:rPr>
          <w:rFonts w:ascii="Trebuchet MS" w:hAnsi="Trebuchet MS" w:cs="Times New Roman"/>
          <w:b/>
          <w:bCs/>
          <w:sz w:val="40"/>
          <w:szCs w:val="40"/>
        </w:rPr>
      </w:pPr>
      <w:bookmarkStart w:id="0" w:name="_Hlk154760327"/>
      <w:r w:rsidRPr="003531D0">
        <w:rPr>
          <w:rFonts w:ascii="Trebuchet MS" w:hAnsi="Trebuchet MS" w:cs="Times New Roman"/>
          <w:b/>
          <w:bCs/>
          <w:sz w:val="40"/>
          <w:szCs w:val="40"/>
        </w:rPr>
        <w:t>Notice</w:t>
      </w:r>
    </w:p>
    <w:p w14:paraId="262F55CD" w14:textId="77777777" w:rsidR="00DB2BD3" w:rsidRPr="00CD2C55" w:rsidRDefault="00DB2BD3" w:rsidP="002067D4">
      <w:pPr>
        <w:spacing w:after="0" w:line="240" w:lineRule="auto"/>
        <w:rPr>
          <w:rFonts w:ascii="Trebuchet MS" w:hAnsi="Trebuchet MS"/>
          <w:sz w:val="28"/>
          <w:szCs w:val="28"/>
        </w:rPr>
      </w:pPr>
    </w:p>
    <w:bookmarkEnd w:id="0"/>
    <w:p w14:paraId="00FB6ED2" w14:textId="77777777" w:rsidR="00DB2BD3" w:rsidRPr="00CD2C55" w:rsidRDefault="00DB2BD3" w:rsidP="00DB2BD3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>
        <w:rPr>
          <w:rFonts w:ascii="Trebuchet MS" w:hAnsi="Trebuchet MS"/>
          <w:color w:val="0E101A"/>
          <w:sz w:val="28"/>
          <w:szCs w:val="28"/>
        </w:rPr>
        <w:t>T</w:t>
      </w:r>
      <w:bookmarkStart w:id="1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48D71D7E" w14:textId="77777777" w:rsidR="00DB2BD3" w:rsidRPr="00CD2C55" w:rsidRDefault="00DB2BD3" w:rsidP="00DB2BD3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7F93553F" w14:textId="77777777" w:rsidR="00DB2BD3" w:rsidRPr="00CD2C55" w:rsidRDefault="00DB2BD3" w:rsidP="00DB2BD3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appropriately and at their own risk.</w:t>
      </w:r>
    </w:p>
    <w:bookmarkEnd w:id="1"/>
    <w:p w14:paraId="523A3B76" w14:textId="77777777" w:rsidR="00DB2BD3" w:rsidRPr="00CD2C55" w:rsidRDefault="00DB2BD3" w:rsidP="00DB2BD3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1F07F529" w14:textId="77777777" w:rsidR="00DB2BD3" w:rsidRPr="0073415B" w:rsidRDefault="00DB2BD3" w:rsidP="00DB2BD3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73415B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60E6D33D" w14:textId="02034861" w:rsidR="00DB2BD3" w:rsidRDefault="00DB2BD3" w:rsidP="00DB2BD3">
      <w:pPr>
        <w:rPr>
          <w:rFonts w:ascii="Trebuchet MS" w:hAnsi="Trebuchet MS"/>
          <w:bCs/>
          <w:sz w:val="28"/>
          <w:szCs w:val="28"/>
        </w:rPr>
      </w:pPr>
      <w:r w:rsidRPr="0073415B">
        <w:rPr>
          <w:rFonts w:ascii="Trebuchet MS" w:eastAsia="Times New Roman" w:hAnsi="Trebuchet MS" w:cs="Times New Roman"/>
          <w:sz w:val="28"/>
          <w:szCs w:val="28"/>
        </w:rPr>
        <w:t xml:space="preserve">Use the following standard special provision </w:t>
      </w:r>
      <w:r w:rsidRPr="0073415B">
        <w:rPr>
          <w:rFonts w:ascii="Trebuchet MS" w:hAnsi="Trebuchet MS"/>
          <w:bCs/>
          <w:sz w:val="28"/>
          <w:szCs w:val="28"/>
        </w:rPr>
        <w:t>on all projects</w:t>
      </w:r>
      <w:r w:rsidR="004B7623">
        <w:rPr>
          <w:rFonts w:ascii="Trebuchet MS" w:hAnsi="Trebuchet MS"/>
          <w:bCs/>
          <w:sz w:val="28"/>
          <w:szCs w:val="28"/>
        </w:rPr>
        <w:t xml:space="preserve"> that have</w:t>
      </w:r>
      <w:r w:rsidR="004B7623" w:rsidRPr="004B7623">
        <w:t xml:space="preserve"> </w:t>
      </w:r>
      <w:r w:rsidR="004B7623" w:rsidRPr="004B7623">
        <w:rPr>
          <w:rFonts w:ascii="Trebuchet MS" w:hAnsi="Trebuchet MS"/>
          <w:bCs/>
          <w:sz w:val="28"/>
          <w:szCs w:val="28"/>
        </w:rPr>
        <w:t>Pavement Marking Paint (Temporary)</w:t>
      </w:r>
      <w:r w:rsidR="004B7623">
        <w:rPr>
          <w:rFonts w:ascii="Trebuchet MS" w:hAnsi="Trebuchet MS"/>
          <w:bCs/>
          <w:sz w:val="28"/>
          <w:szCs w:val="28"/>
        </w:rPr>
        <w:t xml:space="preserve"> </w:t>
      </w:r>
      <w:r w:rsidR="0073415B" w:rsidRPr="0073415B">
        <w:rPr>
          <w:rFonts w:ascii="Trebuchet MS" w:hAnsi="Trebuchet MS"/>
          <w:bCs/>
          <w:sz w:val="28"/>
          <w:szCs w:val="28"/>
        </w:rPr>
        <w:t>.</w:t>
      </w:r>
    </w:p>
    <w:p w14:paraId="261650C1" w14:textId="77777777" w:rsidR="00DB2BD3" w:rsidRDefault="00DB2BD3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br w:type="page"/>
      </w:r>
    </w:p>
    <w:sdt>
      <w:sdtPr>
        <w:rPr>
          <w:b/>
          <w:bCs/>
          <w:sz w:val="24"/>
          <w:szCs w:val="24"/>
        </w:rPr>
        <w:id w:val="1848598018"/>
        <w:docPartObj>
          <w:docPartGallery w:val="Page Numbers (Top of Page)"/>
          <w:docPartUnique/>
        </w:docPartObj>
      </w:sdtPr>
      <w:sdtEndPr>
        <w:rPr>
          <w:rFonts w:ascii="Trebuchet MS" w:hAnsi="Trebuchet MS"/>
          <w:noProof/>
        </w:rPr>
      </w:sdtEndPr>
      <w:sdtContent>
        <w:p w14:paraId="0AD93A17" w14:textId="77777777" w:rsidR="00CB7B52" w:rsidRPr="00CB7B52" w:rsidRDefault="00CB7B52" w:rsidP="00CB7B52">
          <w:pPr>
            <w:pStyle w:val="Header"/>
            <w:jc w:val="center"/>
            <w:rPr>
              <w:rFonts w:ascii="Trebuchet MS" w:hAnsi="Trebuchet MS"/>
              <w:b/>
              <w:bCs/>
              <w:sz w:val="28"/>
              <w:szCs w:val="28"/>
            </w:rPr>
          </w:pPr>
          <w:r w:rsidRPr="00CB7B52">
            <w:rPr>
              <w:rFonts w:ascii="Trebuchet MS" w:hAnsi="Trebuchet MS"/>
              <w:b/>
              <w:bCs/>
              <w:sz w:val="28"/>
              <w:szCs w:val="28"/>
            </w:rPr>
            <w:t>Revision of Section 627</w:t>
          </w:r>
        </w:p>
        <w:p w14:paraId="4A96282C" w14:textId="77777777" w:rsidR="00CB7B52" w:rsidRPr="00CB7B52" w:rsidRDefault="00CB7B52" w:rsidP="00CB7B52">
          <w:pPr>
            <w:spacing w:after="0" w:line="240" w:lineRule="auto"/>
            <w:jc w:val="center"/>
            <w:rPr>
              <w:rFonts w:ascii="Trebuchet MS" w:hAnsi="Trebuchet MS"/>
              <w:b/>
              <w:bCs/>
              <w:sz w:val="28"/>
              <w:szCs w:val="28"/>
            </w:rPr>
          </w:pPr>
          <w:r w:rsidRPr="00CB7B52">
            <w:rPr>
              <w:rFonts w:ascii="Trebuchet MS" w:hAnsi="Trebuchet MS"/>
              <w:b/>
              <w:bCs/>
              <w:sz w:val="28"/>
              <w:szCs w:val="28"/>
            </w:rPr>
            <w:t xml:space="preserve">Pavement Marking Paint (Temporary) </w:t>
          </w:r>
        </w:p>
        <w:p w14:paraId="7D8FF314" w14:textId="77777777" w:rsidR="00CB7B52" w:rsidRDefault="00CB7B52" w:rsidP="00CB7B52">
          <w:pPr>
            <w:pStyle w:val="Header"/>
            <w:jc w:val="center"/>
            <w:rPr>
              <w:rFonts w:ascii="Trebuchet MS" w:hAnsi="Trebuchet MS"/>
              <w:b/>
              <w:bCs/>
              <w:noProof/>
              <w:sz w:val="24"/>
              <w:szCs w:val="24"/>
            </w:rPr>
          </w:pPr>
        </w:p>
      </w:sdtContent>
    </w:sdt>
    <w:p w14:paraId="5C0FE17C" w14:textId="1242C1ED" w:rsidR="00DC5490" w:rsidRPr="0055771E" w:rsidRDefault="00DC5490" w:rsidP="00DB2BD3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Revise </w:t>
      </w:r>
      <w:r w:rsidRPr="0055771E">
        <w:rPr>
          <w:rFonts w:cs="Arial"/>
          <w:b/>
          <w:bCs/>
          <w:sz w:val="24"/>
          <w:szCs w:val="24"/>
        </w:rPr>
        <w:t xml:space="preserve">Section </w:t>
      </w:r>
      <w:r>
        <w:rPr>
          <w:rFonts w:cs="Arial"/>
          <w:b/>
          <w:bCs/>
          <w:sz w:val="24"/>
          <w:szCs w:val="24"/>
        </w:rPr>
        <w:t>627</w:t>
      </w:r>
      <w:r w:rsidRPr="0055771E">
        <w:rPr>
          <w:rFonts w:cs="Arial"/>
          <w:b/>
          <w:bCs/>
          <w:sz w:val="24"/>
          <w:szCs w:val="24"/>
        </w:rPr>
        <w:t xml:space="preserve"> of the Standard Specifications for this project as follows:</w:t>
      </w:r>
    </w:p>
    <w:p w14:paraId="6CC2C23B" w14:textId="21C06A99" w:rsidR="00853C14" w:rsidRDefault="00AE0C16" w:rsidP="00853C14">
      <w:pPr>
        <w:spacing w:after="24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Revise the application </w:t>
      </w:r>
      <w:r w:rsidR="00F259E4">
        <w:rPr>
          <w:rFonts w:ascii="Trebuchet MS" w:hAnsi="Trebuchet MS"/>
          <w:b/>
          <w:bCs/>
          <w:sz w:val="24"/>
          <w:szCs w:val="24"/>
        </w:rPr>
        <w:t xml:space="preserve">bead rate for </w:t>
      </w:r>
      <w:r>
        <w:rPr>
          <w:rFonts w:ascii="Trebuchet MS" w:hAnsi="Trebuchet MS"/>
          <w:b/>
          <w:bCs/>
          <w:sz w:val="24"/>
          <w:szCs w:val="24"/>
        </w:rPr>
        <w:t>Pavement Marking Paint High Build (Temporary) in Table 627-1 of Subsection 627.04 as follows:</w:t>
      </w:r>
      <w:r w:rsidR="00853C14" w:rsidRPr="00853C14">
        <w:rPr>
          <w:rFonts w:ascii="Trebuchet MS" w:hAnsi="Trebuchet MS"/>
          <w:b/>
          <w:bCs/>
          <w:sz w:val="24"/>
          <w:szCs w:val="24"/>
        </w:rPr>
        <w:tab/>
      </w:r>
    </w:p>
    <w:p w14:paraId="6D63FFF8" w14:textId="77777777" w:rsidR="00853C14" w:rsidRPr="00853C14" w:rsidRDefault="00853C14" w:rsidP="00853C14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853C14">
        <w:rPr>
          <w:rFonts w:ascii="Trebuchet MS" w:hAnsi="Trebuchet MS"/>
          <w:b/>
          <w:bCs/>
          <w:sz w:val="24"/>
          <w:szCs w:val="24"/>
        </w:rPr>
        <w:t>Table 627-1</w:t>
      </w:r>
    </w:p>
    <w:p w14:paraId="0367A675" w14:textId="6B49C639" w:rsidR="00853C14" w:rsidRPr="00853C14" w:rsidRDefault="00DC5490" w:rsidP="00853C14">
      <w:pPr>
        <w:spacing w:after="0"/>
        <w:jc w:val="center"/>
        <w:rPr>
          <w:rFonts w:ascii="Trebuchet MS" w:hAnsi="Trebuchet MS"/>
          <w:sz w:val="24"/>
          <w:szCs w:val="24"/>
        </w:rPr>
      </w:pPr>
      <w:r w:rsidRPr="00853C14">
        <w:rPr>
          <w:rFonts w:ascii="Trebuchet MS" w:hAnsi="Trebuchet MS"/>
          <w:b/>
          <w:bCs/>
          <w:sz w:val="24"/>
          <w:szCs w:val="24"/>
        </w:rPr>
        <w:t xml:space="preserve">Minimum </w:t>
      </w:r>
      <w:r>
        <w:rPr>
          <w:rFonts w:ascii="Trebuchet MS" w:hAnsi="Trebuchet MS"/>
          <w:b/>
          <w:bCs/>
          <w:sz w:val="24"/>
          <w:szCs w:val="24"/>
        </w:rPr>
        <w:t>a</w:t>
      </w:r>
      <w:r w:rsidRPr="00853C14">
        <w:rPr>
          <w:rFonts w:ascii="Trebuchet MS" w:hAnsi="Trebuchet MS"/>
          <w:b/>
          <w:bCs/>
          <w:sz w:val="24"/>
          <w:szCs w:val="24"/>
        </w:rPr>
        <w:t xml:space="preserve">nd Maximum Ranges </w:t>
      </w:r>
      <w:r>
        <w:rPr>
          <w:rFonts w:ascii="Trebuchet MS" w:hAnsi="Trebuchet MS"/>
          <w:b/>
          <w:bCs/>
          <w:sz w:val="24"/>
          <w:szCs w:val="24"/>
        </w:rPr>
        <w:t>o</w:t>
      </w:r>
      <w:r w:rsidRPr="00853C14">
        <w:rPr>
          <w:rFonts w:ascii="Trebuchet MS" w:hAnsi="Trebuchet MS"/>
          <w:b/>
          <w:bCs/>
          <w:sz w:val="24"/>
          <w:szCs w:val="24"/>
        </w:rPr>
        <w:t xml:space="preserve">f Paint </w:t>
      </w:r>
      <w:r>
        <w:rPr>
          <w:rFonts w:ascii="Trebuchet MS" w:hAnsi="Trebuchet MS"/>
          <w:b/>
          <w:bCs/>
          <w:sz w:val="24"/>
          <w:szCs w:val="24"/>
        </w:rPr>
        <w:t>a</w:t>
      </w:r>
      <w:r w:rsidRPr="00853C14">
        <w:rPr>
          <w:rFonts w:ascii="Trebuchet MS" w:hAnsi="Trebuchet MS"/>
          <w:b/>
          <w:bCs/>
          <w:sz w:val="24"/>
          <w:szCs w:val="24"/>
        </w:rPr>
        <w:t>nd Stripes</w:t>
      </w: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auto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146"/>
        <w:gridCol w:w="1812"/>
        <w:gridCol w:w="1642"/>
        <w:gridCol w:w="1858"/>
      </w:tblGrid>
      <w:tr w:rsidR="00853C14" w14:paraId="548A420E" w14:textId="77777777" w:rsidTr="00D803D4">
        <w:trPr>
          <w:trHeight w:val="1225"/>
        </w:trPr>
        <w:tc>
          <w:tcPr>
            <w:tcW w:w="1800" w:type="dxa"/>
          </w:tcPr>
          <w:p w14:paraId="0355BD05" w14:textId="77777777" w:rsidR="00853C14" w:rsidRDefault="00853C14" w:rsidP="00E50657">
            <w:pPr>
              <w:pStyle w:val="TableParagraph"/>
              <w:spacing w:line="27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46" w:type="dxa"/>
          </w:tcPr>
          <w:p w14:paraId="0B411F71" w14:textId="77777777" w:rsidR="00853C14" w:rsidRDefault="00853C14" w:rsidP="00E50657">
            <w:pPr>
              <w:pStyle w:val="TableParagraph"/>
              <w:spacing w:line="278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1812" w:type="dxa"/>
          </w:tcPr>
          <w:p w14:paraId="5C5FF57C" w14:textId="77777777" w:rsidR="00853C14" w:rsidRDefault="00853C14" w:rsidP="00E50657">
            <w:pPr>
              <w:pStyle w:val="TableParagraph"/>
              <w:spacing w:line="264" w:lineRule="auto"/>
              <w:ind w:left="141" w:right="13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Pavement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Paint Low Temp</w:t>
            </w:r>
          </w:p>
        </w:tc>
        <w:tc>
          <w:tcPr>
            <w:tcW w:w="1642" w:type="dxa"/>
          </w:tcPr>
          <w:p w14:paraId="6859822B" w14:textId="77777777" w:rsidR="00853C14" w:rsidRDefault="00853C14" w:rsidP="00E50657">
            <w:pPr>
              <w:pStyle w:val="TableParagraph"/>
              <w:spacing w:line="264" w:lineRule="auto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Pavement Marking Paint</w:t>
            </w:r>
          </w:p>
          <w:p w14:paraId="4CE38995" w14:textId="77777777" w:rsidR="00853C14" w:rsidRDefault="00853C14" w:rsidP="00E50657">
            <w:pPr>
              <w:pStyle w:val="TableParagraph"/>
              <w:spacing w:line="278" w:lineRule="exact"/>
              <w:ind w:left="12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Build</w:t>
            </w:r>
          </w:p>
        </w:tc>
        <w:tc>
          <w:tcPr>
            <w:tcW w:w="1858" w:type="dxa"/>
          </w:tcPr>
          <w:p w14:paraId="5021EA6D" w14:textId="77777777" w:rsidR="00853C14" w:rsidRDefault="00853C14" w:rsidP="00E50657">
            <w:pPr>
              <w:pStyle w:val="TableParagraph"/>
              <w:spacing w:line="264" w:lineRule="auto"/>
              <w:ind w:left="162" w:right="148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Pavement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Paint High Build</w:t>
            </w:r>
          </w:p>
          <w:p w14:paraId="402B3482" w14:textId="77777777" w:rsidR="00853C14" w:rsidRDefault="00853C14" w:rsidP="00E50657">
            <w:pPr>
              <w:pStyle w:val="TableParagraph"/>
              <w:spacing w:line="278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(Temporary)</w:t>
            </w:r>
          </w:p>
        </w:tc>
      </w:tr>
      <w:tr w:rsidR="00853C14" w14:paraId="60012306" w14:textId="77777777" w:rsidTr="00D803D4">
        <w:trPr>
          <w:trHeight w:val="614"/>
        </w:trPr>
        <w:tc>
          <w:tcPr>
            <w:tcW w:w="1800" w:type="dxa"/>
          </w:tcPr>
          <w:p w14:paraId="57150354" w14:textId="77777777" w:rsidR="00853C14" w:rsidRDefault="00853C14" w:rsidP="00E50657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Alignment</w:t>
            </w:r>
          </w:p>
        </w:tc>
        <w:tc>
          <w:tcPr>
            <w:tcW w:w="2146" w:type="dxa"/>
          </w:tcPr>
          <w:p w14:paraId="5C2D8B1A" w14:textId="77777777" w:rsidR="00853C14" w:rsidRDefault="00853C14" w:rsidP="00E5065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Lateral</w:t>
            </w:r>
            <w:r>
              <w:rPr>
                <w:spacing w:val="-2"/>
                <w:sz w:val="24"/>
              </w:rPr>
              <w:t xml:space="preserve"> Deviation</w:t>
            </w:r>
          </w:p>
        </w:tc>
        <w:tc>
          <w:tcPr>
            <w:tcW w:w="1812" w:type="dxa"/>
          </w:tcPr>
          <w:p w14:paraId="5A3E3943" w14:textId="77777777" w:rsidR="00853C14" w:rsidRDefault="00853C14" w:rsidP="00E5065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inch </w:t>
            </w:r>
            <w:r>
              <w:rPr>
                <w:spacing w:val="-5"/>
                <w:sz w:val="24"/>
              </w:rPr>
              <w:t>per</w:t>
            </w:r>
          </w:p>
          <w:p w14:paraId="2027B0DC" w14:textId="77777777" w:rsidR="00853C14" w:rsidRDefault="00853C14" w:rsidP="00E50657">
            <w:pPr>
              <w:pStyle w:val="TableParagraph"/>
              <w:spacing w:before="28"/>
              <w:ind w:left="213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Max</w:t>
            </w:r>
          </w:p>
        </w:tc>
        <w:tc>
          <w:tcPr>
            <w:tcW w:w="1642" w:type="dxa"/>
          </w:tcPr>
          <w:p w14:paraId="2DB8A284" w14:textId="77777777" w:rsidR="00853C14" w:rsidRDefault="00853C14" w:rsidP="00E5065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inch </w:t>
            </w:r>
            <w:r>
              <w:rPr>
                <w:spacing w:val="-5"/>
                <w:sz w:val="24"/>
              </w:rPr>
              <w:t>per</w:t>
            </w:r>
          </w:p>
          <w:p w14:paraId="1F3F7D71" w14:textId="77777777" w:rsidR="00853C14" w:rsidRDefault="00853C14" w:rsidP="00E50657">
            <w:pPr>
              <w:pStyle w:val="TableParagraph"/>
              <w:spacing w:before="28"/>
              <w:ind w:left="12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Max</w:t>
            </w:r>
          </w:p>
        </w:tc>
        <w:tc>
          <w:tcPr>
            <w:tcW w:w="1858" w:type="dxa"/>
          </w:tcPr>
          <w:p w14:paraId="61BC2992" w14:textId="77777777" w:rsidR="00853C14" w:rsidRDefault="00853C14" w:rsidP="00E5065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inch </w:t>
            </w:r>
            <w:r>
              <w:rPr>
                <w:spacing w:val="-5"/>
                <w:sz w:val="24"/>
              </w:rPr>
              <w:t>per</w:t>
            </w:r>
          </w:p>
          <w:p w14:paraId="0A93B7DC" w14:textId="77777777" w:rsidR="00853C14" w:rsidRDefault="00853C14" w:rsidP="00E50657">
            <w:pPr>
              <w:pStyle w:val="TableParagraph"/>
              <w:spacing w:before="28"/>
              <w:ind w:left="231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Max</w:t>
            </w:r>
          </w:p>
        </w:tc>
      </w:tr>
      <w:tr w:rsidR="00853C14" w14:paraId="1380A100" w14:textId="77777777" w:rsidTr="00D803D4">
        <w:trPr>
          <w:trHeight w:val="304"/>
        </w:trPr>
        <w:tc>
          <w:tcPr>
            <w:tcW w:w="1800" w:type="dxa"/>
          </w:tcPr>
          <w:p w14:paraId="26A98E8C" w14:textId="77777777" w:rsidR="00853C14" w:rsidRDefault="00853C14" w:rsidP="00E50657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2146" w:type="dxa"/>
          </w:tcPr>
          <w:p w14:paraId="51CE63E1" w14:textId="77777777" w:rsidR="00853C14" w:rsidRDefault="00853C14" w:rsidP="00E5065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Sq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Ft per </w:t>
            </w:r>
            <w:r>
              <w:rPr>
                <w:spacing w:val="-2"/>
                <w:sz w:val="24"/>
              </w:rPr>
              <w:t>Gallon</w:t>
            </w:r>
          </w:p>
        </w:tc>
        <w:tc>
          <w:tcPr>
            <w:tcW w:w="1812" w:type="dxa"/>
          </w:tcPr>
          <w:p w14:paraId="75DA9277" w14:textId="77777777" w:rsidR="00853C14" w:rsidRDefault="00853C14" w:rsidP="00E50657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642" w:type="dxa"/>
          </w:tcPr>
          <w:p w14:paraId="5D31D65D" w14:textId="77777777" w:rsidR="00853C14" w:rsidRDefault="00853C14" w:rsidP="00E50657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58" w:type="dxa"/>
          </w:tcPr>
          <w:p w14:paraId="5BF9A6CB" w14:textId="77777777" w:rsidR="00853C14" w:rsidRDefault="00853C14" w:rsidP="00E50657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105</w:t>
            </w:r>
          </w:p>
        </w:tc>
      </w:tr>
      <w:tr w:rsidR="00853C14" w14:paraId="4FBBAD8B" w14:textId="77777777" w:rsidTr="00D803D4">
        <w:trPr>
          <w:trHeight w:val="306"/>
        </w:trPr>
        <w:tc>
          <w:tcPr>
            <w:tcW w:w="1800" w:type="dxa"/>
          </w:tcPr>
          <w:p w14:paraId="48AD3C04" w14:textId="77777777" w:rsidR="00853C14" w:rsidRDefault="00853C14" w:rsidP="00E50657">
            <w:pPr>
              <w:pStyle w:val="TableParagraph"/>
              <w:spacing w:before="2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Thickness</w:t>
            </w:r>
          </w:p>
        </w:tc>
        <w:tc>
          <w:tcPr>
            <w:tcW w:w="2146" w:type="dxa"/>
          </w:tcPr>
          <w:p w14:paraId="38E43614" w14:textId="77777777" w:rsidR="00853C14" w:rsidRDefault="00853C14" w:rsidP="00E50657">
            <w:pPr>
              <w:pStyle w:val="TableParagraph"/>
              <w:spacing w:before="2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Mil</w:t>
            </w:r>
          </w:p>
        </w:tc>
        <w:tc>
          <w:tcPr>
            <w:tcW w:w="1812" w:type="dxa"/>
          </w:tcPr>
          <w:p w14:paraId="25FB61D4" w14:textId="77777777" w:rsidR="00853C14" w:rsidRDefault="00853C14" w:rsidP="00E50657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42" w:type="dxa"/>
          </w:tcPr>
          <w:p w14:paraId="37E4BD36" w14:textId="77777777" w:rsidR="00853C14" w:rsidRDefault="00853C14" w:rsidP="00E50657">
            <w:pPr>
              <w:pStyle w:val="TableParagraph"/>
              <w:spacing w:before="2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58" w:type="dxa"/>
          </w:tcPr>
          <w:p w14:paraId="5D3B8720" w14:textId="77777777" w:rsidR="00853C14" w:rsidRDefault="00853C14" w:rsidP="00E50657">
            <w:pPr>
              <w:pStyle w:val="TableParagraph"/>
              <w:spacing w:before="2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853C14" w14:paraId="7C4C4CC2" w14:textId="77777777" w:rsidTr="00D803D4">
        <w:trPr>
          <w:trHeight w:val="613"/>
        </w:trPr>
        <w:tc>
          <w:tcPr>
            <w:tcW w:w="1800" w:type="dxa"/>
          </w:tcPr>
          <w:p w14:paraId="6DFD7BF2" w14:textId="77777777" w:rsidR="00853C14" w:rsidRDefault="00853C14" w:rsidP="00E50657">
            <w:pPr>
              <w:pStyle w:val="TableParagraph"/>
              <w:spacing w:before="2"/>
              <w:ind w:left="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Width</w:t>
            </w:r>
          </w:p>
        </w:tc>
        <w:tc>
          <w:tcPr>
            <w:tcW w:w="2146" w:type="dxa"/>
          </w:tcPr>
          <w:p w14:paraId="3088D393" w14:textId="77777777" w:rsidR="00853C14" w:rsidRDefault="00853C14" w:rsidP="00E50657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Inches</w:t>
            </w:r>
          </w:p>
        </w:tc>
        <w:tc>
          <w:tcPr>
            <w:tcW w:w="1812" w:type="dxa"/>
          </w:tcPr>
          <w:p w14:paraId="0C296E2B" w14:textId="77777777" w:rsidR="00853C14" w:rsidRDefault="00853C14" w:rsidP="00E50657">
            <w:pPr>
              <w:pStyle w:val="TableParagraph"/>
              <w:spacing w:before="2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14:paraId="2C743134" w14:textId="77777777" w:rsidR="00853C14" w:rsidRDefault="00853C14" w:rsidP="00E50657">
            <w:pPr>
              <w:pStyle w:val="TableParagraph"/>
              <w:spacing w:before="26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642" w:type="dxa"/>
          </w:tcPr>
          <w:p w14:paraId="0090599B" w14:textId="77777777" w:rsidR="00853C14" w:rsidRDefault="00853C14" w:rsidP="00E50657">
            <w:pPr>
              <w:pStyle w:val="TableParagraph"/>
              <w:spacing w:before="2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14:paraId="3CCA4E40" w14:textId="77777777" w:rsidR="00853C14" w:rsidRDefault="00853C14" w:rsidP="00E50657">
            <w:pPr>
              <w:pStyle w:val="TableParagraph"/>
              <w:spacing w:before="26"/>
              <w:ind w:left="126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858" w:type="dxa"/>
          </w:tcPr>
          <w:p w14:paraId="3828B6E8" w14:textId="77777777" w:rsidR="00853C14" w:rsidRDefault="00853C14" w:rsidP="00E50657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14:paraId="0CFDB66E" w14:textId="77777777" w:rsidR="00853C14" w:rsidRDefault="00853C14" w:rsidP="00E50657">
            <w:pPr>
              <w:pStyle w:val="TableParagraph"/>
              <w:spacing w:before="26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853C14" w14:paraId="7C47AE29" w14:textId="77777777" w:rsidTr="00D803D4">
        <w:trPr>
          <w:trHeight w:val="306"/>
        </w:trPr>
        <w:tc>
          <w:tcPr>
            <w:tcW w:w="1800" w:type="dxa"/>
          </w:tcPr>
          <w:p w14:paraId="1629B487" w14:textId="77777777" w:rsidR="00853C14" w:rsidRDefault="00853C14" w:rsidP="00E50657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2146" w:type="dxa"/>
          </w:tcPr>
          <w:p w14:paraId="58FF50DE" w14:textId="77777777" w:rsidR="00853C14" w:rsidRDefault="00853C14" w:rsidP="00E50657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812" w:type="dxa"/>
          </w:tcPr>
          <w:p w14:paraId="55CE4CD5" w14:textId="77777777" w:rsidR="00853C14" w:rsidRDefault="00853C14" w:rsidP="00E50657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42" w:type="dxa"/>
          </w:tcPr>
          <w:p w14:paraId="66666EB4" w14:textId="77777777" w:rsidR="00853C14" w:rsidRDefault="00853C14" w:rsidP="00E50657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8" w:type="dxa"/>
          </w:tcPr>
          <w:p w14:paraId="02B1DBBE" w14:textId="77777777" w:rsidR="00853C14" w:rsidRDefault="00853C14" w:rsidP="00E50657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853C14" w14:paraId="65C1D9E7" w14:textId="77777777" w:rsidTr="00B7592B">
        <w:trPr>
          <w:trHeight w:val="740"/>
        </w:trPr>
        <w:tc>
          <w:tcPr>
            <w:tcW w:w="1800" w:type="dxa"/>
          </w:tcPr>
          <w:p w14:paraId="64F14631" w14:textId="77777777" w:rsidR="00853C14" w:rsidRDefault="00853C14" w:rsidP="00E50657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Beads</w:t>
            </w:r>
          </w:p>
        </w:tc>
        <w:tc>
          <w:tcPr>
            <w:tcW w:w="2146" w:type="dxa"/>
          </w:tcPr>
          <w:p w14:paraId="171EBAEB" w14:textId="77777777" w:rsidR="00853C14" w:rsidRDefault="00853C14" w:rsidP="00E50657">
            <w:pPr>
              <w:pStyle w:val="TableParagraph"/>
              <w:spacing w:line="264" w:lineRule="auto"/>
              <w:ind w:left="655" w:hanging="51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Rate, </w:t>
            </w:r>
            <w:r>
              <w:rPr>
                <w:spacing w:val="-2"/>
                <w:sz w:val="24"/>
              </w:rPr>
              <w:t>lbs./gal</w:t>
            </w:r>
          </w:p>
        </w:tc>
        <w:tc>
          <w:tcPr>
            <w:tcW w:w="1812" w:type="dxa"/>
          </w:tcPr>
          <w:p w14:paraId="10F5792E" w14:textId="77777777" w:rsidR="00853C14" w:rsidRDefault="00853C14" w:rsidP="00E5065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42" w:type="dxa"/>
          </w:tcPr>
          <w:p w14:paraId="343688D8" w14:textId="77777777" w:rsidR="00853C14" w:rsidRDefault="00853C14" w:rsidP="00E50657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8" w:type="dxa"/>
          </w:tcPr>
          <w:p w14:paraId="2B2C839D" w14:textId="7D6327CE" w:rsidR="00853C14" w:rsidRDefault="00AE0C16" w:rsidP="00E5065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5-6</w:t>
            </w:r>
          </w:p>
        </w:tc>
      </w:tr>
    </w:tbl>
    <w:p w14:paraId="39296007" w14:textId="77777777" w:rsidR="00853C14" w:rsidRDefault="00853C14" w:rsidP="00853C14">
      <w:pPr>
        <w:rPr>
          <w:rFonts w:ascii="Trebuchet MS" w:hAnsi="Trebuchet MS"/>
          <w:sz w:val="24"/>
          <w:szCs w:val="24"/>
        </w:rPr>
      </w:pPr>
    </w:p>
    <w:p w14:paraId="68490BBF" w14:textId="77777777" w:rsidR="00D803D4" w:rsidRPr="00D803D4" w:rsidRDefault="00D803D4" w:rsidP="00D803D4">
      <w:pPr>
        <w:rPr>
          <w:rFonts w:ascii="Trebuchet MS" w:hAnsi="Trebuchet MS"/>
          <w:sz w:val="24"/>
          <w:szCs w:val="24"/>
        </w:rPr>
      </w:pPr>
    </w:p>
    <w:p w14:paraId="278BF89A" w14:textId="77777777" w:rsidR="00D803D4" w:rsidRDefault="00D803D4" w:rsidP="00D803D4">
      <w:pPr>
        <w:rPr>
          <w:rFonts w:ascii="Trebuchet MS" w:hAnsi="Trebuchet MS"/>
          <w:sz w:val="24"/>
          <w:szCs w:val="24"/>
        </w:rPr>
      </w:pPr>
    </w:p>
    <w:p w14:paraId="35419A44" w14:textId="77777777" w:rsidR="00D803D4" w:rsidRDefault="00D803D4" w:rsidP="00D803D4">
      <w:pPr>
        <w:rPr>
          <w:rFonts w:ascii="Trebuchet MS" w:hAnsi="Trebuchet MS"/>
          <w:sz w:val="24"/>
          <w:szCs w:val="24"/>
        </w:rPr>
      </w:pPr>
    </w:p>
    <w:p w14:paraId="7FBAD9FF" w14:textId="3E4A0EB0" w:rsidR="00D803D4" w:rsidRPr="00D803D4" w:rsidRDefault="00D803D4" w:rsidP="00B7592B">
      <w:pPr>
        <w:tabs>
          <w:tab w:val="left" w:pos="21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D803D4" w:rsidRPr="00D803D4" w:rsidSect="004353F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1507" w14:textId="77777777" w:rsidR="00986FBD" w:rsidRDefault="00986FBD" w:rsidP="00853C14">
      <w:pPr>
        <w:spacing w:after="0" w:line="240" w:lineRule="auto"/>
      </w:pPr>
      <w:r>
        <w:separator/>
      </w:r>
    </w:p>
  </w:endnote>
  <w:endnote w:type="continuationSeparator" w:id="0">
    <w:p w14:paraId="136347F0" w14:textId="77777777" w:rsidR="00986FBD" w:rsidRDefault="00986FBD" w:rsidP="0085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9E0A" w14:textId="77777777" w:rsidR="00986FBD" w:rsidRDefault="00986FBD" w:rsidP="00853C14">
      <w:pPr>
        <w:spacing w:after="0" w:line="240" w:lineRule="auto"/>
      </w:pPr>
      <w:r>
        <w:separator/>
      </w:r>
    </w:p>
  </w:footnote>
  <w:footnote w:type="continuationSeparator" w:id="0">
    <w:p w14:paraId="04983BCF" w14:textId="77777777" w:rsidR="00986FBD" w:rsidRDefault="00986FBD" w:rsidP="0085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1119187033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5928D398" w14:textId="77777777" w:rsidR="002067D4" w:rsidRPr="004205DB" w:rsidRDefault="002067D4" w:rsidP="002067D4">
        <w:pPr>
          <w:pStyle w:val="Header"/>
          <w:jc w:val="center"/>
          <w:rPr>
            <w:b/>
            <w:bCs/>
          </w:rPr>
        </w:pPr>
      </w:p>
      <w:p w14:paraId="1292669A" w14:textId="77777777" w:rsidR="002067D4" w:rsidRPr="004205DB" w:rsidRDefault="002067D4" w:rsidP="002067D4">
        <w:pPr>
          <w:pStyle w:val="Header"/>
          <w:jc w:val="center"/>
          <w:rPr>
            <w:b/>
            <w:bCs/>
          </w:rPr>
        </w:pPr>
      </w:p>
      <w:p w14:paraId="5F6CEA36" w14:textId="77777777" w:rsidR="002067D4" w:rsidRPr="004205DB" w:rsidRDefault="002067D4" w:rsidP="002067D4">
        <w:pPr>
          <w:pStyle w:val="Header"/>
          <w:jc w:val="center"/>
          <w:rPr>
            <w:b/>
            <w:bCs/>
          </w:rPr>
        </w:pPr>
      </w:p>
      <w:p w14:paraId="72DA3035" w14:textId="77CAC2E9" w:rsidR="002067D4" w:rsidRPr="004205DB" w:rsidRDefault="005820C4" w:rsidP="002067D4">
        <w:pPr>
          <w:pStyle w:val="Header"/>
          <w:jc w:val="right"/>
          <w:rPr>
            <w:rFonts w:ascii="Trebuchet MS" w:hAnsi="Trebuchet MS"/>
            <w:b/>
            <w:bCs/>
            <w:noProof/>
            <w:sz w:val="24"/>
            <w:szCs w:val="24"/>
          </w:rPr>
        </w:pPr>
        <w:r w:rsidRPr="005820C4">
          <w:rPr>
            <w:rFonts w:ascii="Trebuchet MS" w:hAnsi="Trebuchet MS"/>
            <w:b/>
            <w:bCs/>
            <w:noProof/>
            <w:sz w:val="24"/>
            <w:szCs w:val="24"/>
          </w:rPr>
          <w:t>April 2, 2024</w:t>
        </w:r>
      </w:p>
      <w:p w14:paraId="1C3046C1" w14:textId="6584CB38" w:rsidR="002067D4" w:rsidRPr="004205DB" w:rsidRDefault="002067D4" w:rsidP="002067D4">
        <w:pPr>
          <w:pStyle w:val="Header"/>
          <w:jc w:val="center"/>
          <w:rPr>
            <w:rFonts w:ascii="Trebuchet MS" w:hAnsi="Trebuchet MS"/>
            <w:b/>
            <w:bCs/>
            <w:noProof/>
            <w:sz w:val="24"/>
            <w:szCs w:val="24"/>
          </w:rPr>
        </w:pPr>
        <w:r w:rsidRPr="004205DB">
          <w:rPr>
            <w:rFonts w:ascii="Trebuchet MS" w:hAnsi="Trebuchet MS"/>
            <w:b/>
            <w:bCs/>
            <w:sz w:val="24"/>
            <w:szCs w:val="24"/>
          </w:rPr>
          <w:fldChar w:fldCharType="begin"/>
        </w:r>
        <w:r w:rsidRPr="004205DB">
          <w:rPr>
            <w:rFonts w:ascii="Trebuchet MS" w:hAnsi="Trebuchet MS"/>
            <w:b/>
            <w:bCs/>
            <w:sz w:val="24"/>
            <w:szCs w:val="24"/>
          </w:rPr>
          <w:instrText xml:space="preserve"> PAGE   \* MERGEFORMAT </w:instrText>
        </w:r>
        <w:r w:rsidRPr="004205DB">
          <w:rPr>
            <w:rFonts w:ascii="Trebuchet MS" w:hAnsi="Trebuchet MS"/>
            <w:b/>
            <w:bCs/>
            <w:sz w:val="24"/>
            <w:szCs w:val="24"/>
          </w:rPr>
          <w:fldChar w:fldCharType="separate"/>
        </w:r>
        <w:r w:rsidRPr="004205DB">
          <w:rPr>
            <w:rFonts w:ascii="Trebuchet MS" w:hAnsi="Trebuchet MS"/>
            <w:b/>
            <w:bCs/>
            <w:noProof/>
            <w:sz w:val="24"/>
            <w:szCs w:val="24"/>
          </w:rPr>
          <w:t>2</w:t>
        </w:r>
        <w:r w:rsidRPr="004205DB">
          <w:rPr>
            <w:rFonts w:ascii="Trebuchet MS" w:hAnsi="Trebuchet MS"/>
            <w:b/>
            <w:bCs/>
            <w:noProof/>
            <w:sz w:val="24"/>
            <w:szCs w:val="24"/>
          </w:rPr>
          <w:fldChar w:fldCharType="end"/>
        </w:r>
      </w:p>
    </w:sdtContent>
  </w:sdt>
  <w:p w14:paraId="75DE26F9" w14:textId="236CC843" w:rsidR="002067D4" w:rsidRDefault="002067D4" w:rsidP="002067D4">
    <w:pPr>
      <w:pStyle w:val="Header"/>
      <w:jc w:val="center"/>
      <w:rPr>
        <w:rFonts w:ascii="Trebuchet MS" w:hAnsi="Trebuchet MS"/>
        <w:b/>
        <w:bCs/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4"/>
        <w:szCs w:val="24"/>
      </w:rPr>
      <w:id w:val="1943490498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4A14B67E" w14:textId="77777777" w:rsidR="002067D4" w:rsidRDefault="002067D4" w:rsidP="002067D4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6BE88F5E" w14:textId="77777777" w:rsidR="002067D4" w:rsidRDefault="002067D4" w:rsidP="002067D4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1588D1A2" w14:textId="77777777" w:rsidR="002067D4" w:rsidRDefault="002067D4" w:rsidP="002067D4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77A691A4" w14:textId="6C83FECE" w:rsidR="002067D4" w:rsidRPr="002067D4" w:rsidRDefault="005820C4" w:rsidP="002067D4">
        <w:pPr>
          <w:pStyle w:val="Header"/>
          <w:jc w:val="right"/>
          <w:rPr>
            <w:rFonts w:ascii="Trebuchet MS" w:hAnsi="Trebuchet MS"/>
            <w:b/>
            <w:bCs/>
            <w:noProof/>
            <w:sz w:val="24"/>
            <w:szCs w:val="24"/>
          </w:rPr>
        </w:pPr>
        <w:r w:rsidRPr="005820C4">
          <w:rPr>
            <w:rFonts w:ascii="Trebuchet MS" w:hAnsi="Trebuchet MS"/>
            <w:b/>
            <w:bCs/>
            <w:noProof/>
            <w:sz w:val="24"/>
            <w:szCs w:val="24"/>
          </w:rPr>
          <w:t>April 2, 2024</w:t>
        </w:r>
      </w:p>
      <w:p w14:paraId="4C2E474C" w14:textId="77777777" w:rsidR="002067D4" w:rsidRPr="00CB7B52" w:rsidRDefault="002067D4" w:rsidP="002067D4">
        <w:pPr>
          <w:spacing w:after="0" w:line="240" w:lineRule="auto"/>
          <w:jc w:val="center"/>
          <w:rPr>
            <w:rFonts w:ascii="Trebuchet MS" w:hAnsi="Trebuchet MS"/>
            <w:b/>
            <w:bCs/>
            <w:sz w:val="28"/>
            <w:szCs w:val="28"/>
          </w:rPr>
        </w:pPr>
        <w:r w:rsidRPr="00CB7B52">
          <w:rPr>
            <w:rFonts w:ascii="Trebuchet MS" w:hAnsi="Trebuchet MS"/>
            <w:b/>
            <w:bCs/>
            <w:sz w:val="28"/>
            <w:szCs w:val="28"/>
          </w:rPr>
          <w:t xml:space="preserve">Revision of Section 627 </w:t>
        </w:r>
      </w:p>
      <w:p w14:paraId="26721F3A" w14:textId="77777777" w:rsidR="002067D4" w:rsidRPr="00CB7B52" w:rsidRDefault="002067D4" w:rsidP="002067D4">
        <w:pPr>
          <w:spacing w:after="0" w:line="240" w:lineRule="auto"/>
          <w:jc w:val="center"/>
          <w:rPr>
            <w:rFonts w:ascii="Trebuchet MS" w:hAnsi="Trebuchet MS"/>
            <w:b/>
            <w:bCs/>
            <w:sz w:val="28"/>
            <w:szCs w:val="28"/>
          </w:rPr>
        </w:pPr>
        <w:r w:rsidRPr="00CB7B52">
          <w:rPr>
            <w:rFonts w:ascii="Trebuchet MS" w:hAnsi="Trebuchet MS"/>
            <w:b/>
            <w:bCs/>
            <w:sz w:val="28"/>
            <w:szCs w:val="28"/>
          </w:rPr>
          <w:t xml:space="preserve">Pavement Marking Paint (Temporary) </w:t>
        </w:r>
      </w:p>
      <w:p w14:paraId="0324CE23" w14:textId="77777777" w:rsidR="002067D4" w:rsidRDefault="00000000" w:rsidP="002067D4">
        <w:pPr>
          <w:pStyle w:val="Header"/>
          <w:jc w:val="center"/>
          <w:rPr>
            <w:rFonts w:ascii="Trebuchet MS" w:hAnsi="Trebuchet MS"/>
            <w:b/>
            <w:bCs/>
            <w:noProof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14"/>
    <w:rsid w:val="001978F5"/>
    <w:rsid w:val="002067D4"/>
    <w:rsid w:val="0023228B"/>
    <w:rsid w:val="0024481B"/>
    <w:rsid w:val="002A1F18"/>
    <w:rsid w:val="002F1210"/>
    <w:rsid w:val="004205DB"/>
    <w:rsid w:val="004353FD"/>
    <w:rsid w:val="00494A09"/>
    <w:rsid w:val="004B7623"/>
    <w:rsid w:val="005319D6"/>
    <w:rsid w:val="00560D3F"/>
    <w:rsid w:val="005820C4"/>
    <w:rsid w:val="005F33E4"/>
    <w:rsid w:val="00640A3D"/>
    <w:rsid w:val="00687DD6"/>
    <w:rsid w:val="007229EB"/>
    <w:rsid w:val="0073415B"/>
    <w:rsid w:val="00853C14"/>
    <w:rsid w:val="009000C9"/>
    <w:rsid w:val="00986FBD"/>
    <w:rsid w:val="00AE0C16"/>
    <w:rsid w:val="00B7592B"/>
    <w:rsid w:val="00B90EB5"/>
    <w:rsid w:val="00BB3C97"/>
    <w:rsid w:val="00CB7B52"/>
    <w:rsid w:val="00D803D4"/>
    <w:rsid w:val="00DB2BD3"/>
    <w:rsid w:val="00DC5490"/>
    <w:rsid w:val="00E04DE3"/>
    <w:rsid w:val="00F259E4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1D974"/>
  <w15:chartTrackingRefBased/>
  <w15:docId w15:val="{569E8C8A-4BE4-4002-920A-5E45A0FC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14"/>
  </w:style>
  <w:style w:type="paragraph" w:styleId="Footer">
    <w:name w:val="footer"/>
    <w:basedOn w:val="Normal"/>
    <w:link w:val="FooterChar"/>
    <w:uiPriority w:val="99"/>
    <w:unhideWhenUsed/>
    <w:rsid w:val="0085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14"/>
  </w:style>
  <w:style w:type="paragraph" w:customStyle="1" w:styleId="TableParagraph">
    <w:name w:val="Table Paragraph"/>
    <w:basedOn w:val="Normal"/>
    <w:uiPriority w:val="1"/>
    <w:qFormat/>
    <w:rsid w:val="00853C1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Revision">
    <w:name w:val="Revision"/>
    <w:hidden/>
    <w:uiPriority w:val="99"/>
    <w:semiHidden/>
    <w:rsid w:val="00AE0C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B2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Anthony</dc:creator>
  <cp:keywords/>
  <dc:description/>
  <cp:lastModifiedBy>Kayen, Michele</cp:lastModifiedBy>
  <cp:revision>2</cp:revision>
  <dcterms:created xsi:type="dcterms:W3CDTF">2025-02-06T22:25:00Z</dcterms:created>
  <dcterms:modified xsi:type="dcterms:W3CDTF">2025-02-06T22:25:00Z</dcterms:modified>
</cp:coreProperties>
</file>