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2C831" w14:textId="77777777" w:rsidR="00FD31A2" w:rsidRDefault="00FD31A2" w:rsidP="00F44D0A">
      <w:pPr>
        <w:pStyle w:val="Heading1"/>
      </w:pPr>
    </w:p>
    <w:p w14:paraId="13E18F4A" w14:textId="26E9724D" w:rsidR="002D5092" w:rsidRPr="008717DC" w:rsidRDefault="00BC6243" w:rsidP="00F44D0A">
      <w:pPr>
        <w:pStyle w:val="Heading1"/>
      </w:pPr>
      <w:r w:rsidRPr="008717DC">
        <w:t>Notice</w:t>
      </w:r>
    </w:p>
    <w:p w14:paraId="4F42C4ED" w14:textId="77777777" w:rsidR="002D5092" w:rsidRPr="008717DC" w:rsidRDefault="002D5092">
      <w:pPr>
        <w:widowControl w:val="0"/>
        <w:tabs>
          <w:tab w:val="left" w:pos="0"/>
          <w:tab w:val="left" w:pos="360"/>
        </w:tabs>
        <w:rPr>
          <w:rFonts w:ascii="Trebuchet MS" w:hAnsi="Trebuchet MS"/>
          <w:b/>
          <w:sz w:val="28"/>
        </w:rPr>
      </w:pPr>
    </w:p>
    <w:p w14:paraId="4F899708" w14:textId="77777777" w:rsidR="002D5092" w:rsidRPr="008717DC" w:rsidRDefault="002D5092">
      <w:pPr>
        <w:widowControl w:val="0"/>
        <w:tabs>
          <w:tab w:val="left" w:pos="0"/>
          <w:tab w:val="left" w:pos="360"/>
        </w:tabs>
        <w:rPr>
          <w:rFonts w:ascii="Trebuchet MS" w:hAnsi="Trebuchet MS"/>
          <w:b/>
          <w:sz w:val="28"/>
        </w:rPr>
      </w:pPr>
    </w:p>
    <w:p w14:paraId="6C73ED10" w14:textId="77777777" w:rsidR="002D5092" w:rsidRPr="008717DC" w:rsidRDefault="002D5092">
      <w:pPr>
        <w:widowControl w:val="0"/>
        <w:tabs>
          <w:tab w:val="left" w:pos="0"/>
          <w:tab w:val="left" w:pos="360"/>
        </w:tabs>
        <w:rPr>
          <w:rFonts w:ascii="Trebuchet MS" w:hAnsi="Trebuchet MS"/>
          <w:sz w:val="28"/>
        </w:rPr>
      </w:pPr>
      <w:r w:rsidRPr="008717DC">
        <w:rPr>
          <w:rFonts w:ascii="Trebuchet MS" w:hAnsi="Trebuchet MS"/>
          <w:sz w:val="28"/>
        </w:rPr>
        <w:t xml:space="preserve">This is a standard special provision that revises or modifies CDOT’s </w:t>
      </w:r>
      <w:r w:rsidRPr="008717DC">
        <w:rPr>
          <w:rFonts w:ascii="Trebuchet MS" w:hAnsi="Trebuchet MS"/>
          <w:i/>
          <w:sz w:val="28"/>
        </w:rPr>
        <w:t>Standard Specifications for Road and Bridge Construction</w:t>
      </w:r>
      <w:r w:rsidRPr="008717DC">
        <w:rPr>
          <w:rFonts w:ascii="Trebuchet MS" w:hAnsi="Trebuchet MS"/>
          <w:sz w:val="28"/>
        </w:rPr>
        <w:t>.  It has gone through a formal review and approval process and has been issued by CDOT’s Staff Design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issued by Staff Design unless such use is first approved by the Specification Unit of Staff Design.  The instructions for use on CDOT construction projects appear below.</w:t>
      </w:r>
    </w:p>
    <w:p w14:paraId="365A72E1" w14:textId="77777777" w:rsidR="002D5092" w:rsidRPr="008717DC" w:rsidRDefault="002D5092">
      <w:pPr>
        <w:widowControl w:val="0"/>
        <w:tabs>
          <w:tab w:val="left" w:pos="0"/>
          <w:tab w:val="left" w:pos="360"/>
        </w:tabs>
        <w:rPr>
          <w:rFonts w:ascii="Trebuchet MS" w:hAnsi="Trebuchet MS"/>
          <w:sz w:val="28"/>
        </w:rPr>
      </w:pPr>
    </w:p>
    <w:p w14:paraId="46F5E327" w14:textId="77777777" w:rsidR="002D5092" w:rsidRPr="008717DC" w:rsidRDefault="002D5092">
      <w:pPr>
        <w:widowControl w:val="0"/>
        <w:tabs>
          <w:tab w:val="left" w:pos="0"/>
          <w:tab w:val="left" w:pos="360"/>
        </w:tabs>
        <w:rPr>
          <w:rFonts w:ascii="Trebuchet MS" w:hAnsi="Trebuchet MS"/>
          <w:sz w:val="28"/>
        </w:rPr>
      </w:pPr>
      <w:r w:rsidRPr="008717DC">
        <w:rPr>
          <w:rFonts w:ascii="Trebuchet MS" w:hAnsi="Trebuchet MS"/>
          <w:sz w:val="28"/>
        </w:rPr>
        <w:t xml:space="preserve">Other agencies which use the </w:t>
      </w:r>
      <w:r w:rsidRPr="008717DC">
        <w:rPr>
          <w:rFonts w:ascii="Trebuchet MS" w:hAnsi="Trebuchet MS"/>
          <w:i/>
          <w:sz w:val="28"/>
        </w:rPr>
        <w:t>Standard Specifications for Road and Bridge Construction</w:t>
      </w:r>
      <w:r w:rsidRPr="008717DC">
        <w:rPr>
          <w:rFonts w:ascii="Trebuchet MS" w:hAnsi="Trebuchet MS"/>
          <w:sz w:val="28"/>
        </w:rPr>
        <w:t xml:space="preserve"> to administer construction projects may use this special provision as appropriate and at their own risk.</w:t>
      </w:r>
    </w:p>
    <w:p w14:paraId="62181899" w14:textId="77777777" w:rsidR="002D5092" w:rsidRPr="008717DC" w:rsidRDefault="002D5092">
      <w:pPr>
        <w:widowControl w:val="0"/>
        <w:tabs>
          <w:tab w:val="left" w:pos="0"/>
          <w:tab w:val="left" w:pos="360"/>
        </w:tabs>
        <w:rPr>
          <w:rFonts w:ascii="Trebuchet MS" w:hAnsi="Trebuchet MS"/>
          <w:sz w:val="28"/>
        </w:rPr>
      </w:pPr>
    </w:p>
    <w:p w14:paraId="34828586" w14:textId="77777777" w:rsidR="00D9250C" w:rsidRPr="00D9250C" w:rsidRDefault="00D9250C">
      <w:pPr>
        <w:pStyle w:val="BodyText"/>
        <w:rPr>
          <w:rFonts w:ascii="Trebuchet MS" w:hAnsi="Trebuchet MS"/>
          <w:color w:val="0070C0"/>
        </w:rPr>
      </w:pPr>
      <w:r w:rsidRPr="00D9250C">
        <w:rPr>
          <w:rFonts w:ascii="Trebuchet MS" w:hAnsi="Trebuchet MS"/>
          <w:color w:val="0070C0"/>
        </w:rPr>
        <w:t>Instructions for Use on CDOT Construction Projects:</w:t>
      </w:r>
    </w:p>
    <w:p w14:paraId="27620DAB" w14:textId="77777777" w:rsidR="00D9250C" w:rsidRDefault="00D9250C">
      <w:pPr>
        <w:pStyle w:val="BodyText"/>
        <w:rPr>
          <w:rFonts w:ascii="Trebuchet MS" w:hAnsi="Trebuchet MS"/>
        </w:rPr>
      </w:pPr>
    </w:p>
    <w:p w14:paraId="330CFC3C" w14:textId="0E4926CC" w:rsidR="002D5092" w:rsidRPr="008717DC" w:rsidRDefault="002D5092">
      <w:pPr>
        <w:pStyle w:val="BodyText"/>
        <w:rPr>
          <w:rFonts w:ascii="Trebuchet MS" w:hAnsi="Trebuchet MS"/>
        </w:rPr>
      </w:pPr>
      <w:r w:rsidRPr="008717DC">
        <w:rPr>
          <w:rFonts w:ascii="Trebuchet MS" w:hAnsi="Trebuchet MS"/>
        </w:rPr>
        <w:t>Use this standard special provision on projects with hot bituminous pavement when acceptance is based on asphalt content, voids in the mineral aggregate, air voids, and in-place density.</w:t>
      </w:r>
    </w:p>
    <w:p w14:paraId="14355999" w14:textId="77777777" w:rsidR="002D5092" w:rsidRPr="008717DC" w:rsidRDefault="002D5092">
      <w:pPr>
        <w:widowControl w:val="0"/>
        <w:rPr>
          <w:rFonts w:ascii="Trebuchet MS" w:hAnsi="Trebuchet MS"/>
          <w:color w:val="000000"/>
          <w:sz w:val="28"/>
        </w:rPr>
      </w:pPr>
    </w:p>
    <w:p w14:paraId="5DBB0737" w14:textId="77777777" w:rsidR="002D5092" w:rsidRPr="008717DC" w:rsidRDefault="002D5092">
      <w:pPr>
        <w:widowControl w:val="0"/>
        <w:rPr>
          <w:rFonts w:ascii="Trebuchet MS" w:hAnsi="Trebuchet MS"/>
          <w:color w:val="000000"/>
          <w:sz w:val="28"/>
        </w:rPr>
      </w:pPr>
    </w:p>
    <w:p w14:paraId="6B10B181" w14:textId="77777777" w:rsidR="002D5092" w:rsidRPr="008717DC" w:rsidRDefault="002D5092">
      <w:pPr>
        <w:widowControl w:val="0"/>
        <w:jc w:val="both"/>
        <w:rPr>
          <w:rFonts w:ascii="Trebuchet MS" w:hAnsi="Trebuchet MS"/>
          <w:color w:val="000000"/>
        </w:rPr>
        <w:sectPr w:rsidR="002D5092" w:rsidRPr="008717DC" w:rsidSect="000C1A8A">
          <w:headerReference w:type="default" r:id="rId6"/>
          <w:headerReference w:type="first" r:id="rId7"/>
          <w:type w:val="continuous"/>
          <w:pgSz w:w="12240" w:h="15840"/>
          <w:pgMar w:top="1560" w:right="1080" w:bottom="719" w:left="1080" w:header="720" w:footer="720" w:gutter="0"/>
          <w:pgNumType w:start="1"/>
          <w:cols w:space="720"/>
          <w:titlePg/>
          <w:docGrid w:linePitch="272"/>
        </w:sectPr>
      </w:pPr>
    </w:p>
    <w:p w14:paraId="61897BE2" w14:textId="77777777" w:rsidR="00CB3F8D" w:rsidRPr="00FD31A2" w:rsidRDefault="00CB3F8D" w:rsidP="00CB3F8D">
      <w:pPr>
        <w:widowControl w:val="0"/>
        <w:tabs>
          <w:tab w:val="left" w:pos="0"/>
          <w:tab w:val="left" w:pos="360"/>
          <w:tab w:val="left" w:pos="720"/>
          <w:tab w:val="left" w:pos="1080"/>
          <w:tab w:val="left" w:pos="1440"/>
          <w:tab w:val="left" w:pos="1800"/>
        </w:tabs>
        <w:jc w:val="center"/>
        <w:rPr>
          <w:rFonts w:ascii="Trebuchet MS" w:hAnsi="Trebuchet MS"/>
          <w:b/>
          <w:sz w:val="28"/>
          <w:szCs w:val="28"/>
        </w:rPr>
      </w:pPr>
      <w:r w:rsidRPr="00FD31A2">
        <w:rPr>
          <w:rFonts w:ascii="Trebuchet MS" w:hAnsi="Trebuchet MS"/>
          <w:b/>
          <w:sz w:val="28"/>
          <w:szCs w:val="28"/>
        </w:rPr>
        <w:lastRenderedPageBreak/>
        <w:t>Revision of Section 401</w:t>
      </w:r>
    </w:p>
    <w:p w14:paraId="72627985" w14:textId="77777777" w:rsidR="00CB3F8D" w:rsidRPr="00FD31A2" w:rsidRDefault="00CB3F8D" w:rsidP="00CB3F8D">
      <w:pPr>
        <w:widowControl w:val="0"/>
        <w:tabs>
          <w:tab w:val="left" w:pos="0"/>
          <w:tab w:val="left" w:pos="360"/>
          <w:tab w:val="left" w:pos="720"/>
          <w:tab w:val="left" w:pos="1080"/>
          <w:tab w:val="left" w:pos="1440"/>
          <w:tab w:val="left" w:pos="1800"/>
        </w:tabs>
        <w:jc w:val="center"/>
        <w:rPr>
          <w:rFonts w:ascii="Trebuchet MS" w:hAnsi="Trebuchet MS"/>
          <w:b/>
          <w:sz w:val="28"/>
          <w:szCs w:val="28"/>
        </w:rPr>
      </w:pPr>
      <w:r w:rsidRPr="00FD31A2">
        <w:rPr>
          <w:rFonts w:ascii="Trebuchet MS" w:hAnsi="Trebuchet MS"/>
          <w:b/>
          <w:sz w:val="28"/>
          <w:szCs w:val="28"/>
        </w:rPr>
        <w:t>Tolerances for Hot Mix Asphalt (Voids Acceptance)</w:t>
      </w:r>
    </w:p>
    <w:p w14:paraId="604E6BB5" w14:textId="77777777" w:rsidR="002D5092" w:rsidRPr="008717DC" w:rsidRDefault="002D5092">
      <w:pPr>
        <w:rPr>
          <w:rFonts w:ascii="Trebuchet MS" w:hAnsi="Trebuchet MS"/>
          <w:sz w:val="24"/>
          <w:szCs w:val="24"/>
        </w:rPr>
      </w:pPr>
    </w:p>
    <w:p w14:paraId="3B86EC86" w14:textId="77777777" w:rsidR="002D5092" w:rsidRPr="00F44D0A" w:rsidRDefault="002D5092" w:rsidP="003E0A99">
      <w:pPr>
        <w:widowControl w:val="0"/>
        <w:tabs>
          <w:tab w:val="left" w:pos="0"/>
          <w:tab w:val="left" w:pos="360"/>
          <w:tab w:val="left" w:pos="0"/>
          <w:tab w:val="left" w:pos="360"/>
          <w:tab w:val="left" w:pos="0"/>
          <w:tab w:val="left" w:pos="360"/>
          <w:tab w:val="left" w:pos="0"/>
          <w:tab w:val="left" w:pos="360"/>
        </w:tabs>
        <w:spacing w:after="160" w:line="264" w:lineRule="atLeast"/>
        <w:jc w:val="both"/>
        <w:rPr>
          <w:rFonts w:ascii="Trebuchet MS" w:hAnsi="Trebuchet MS"/>
          <w:b/>
          <w:bCs/>
          <w:sz w:val="24"/>
          <w:szCs w:val="24"/>
        </w:rPr>
      </w:pPr>
      <w:r w:rsidRPr="00F44D0A">
        <w:rPr>
          <w:rFonts w:ascii="Trebuchet MS" w:hAnsi="Trebuchet MS"/>
          <w:b/>
          <w:bCs/>
          <w:sz w:val="24"/>
          <w:szCs w:val="24"/>
        </w:rPr>
        <w:t>Section 401 of the Standard Specifications is hereby revised for this project as follows:</w:t>
      </w:r>
    </w:p>
    <w:p w14:paraId="422CAE7D" w14:textId="77777777" w:rsidR="002D5092" w:rsidRPr="008717DC" w:rsidRDefault="00144A94" w:rsidP="009160B7">
      <w:pPr>
        <w:pStyle w:val="Heading2"/>
      </w:pPr>
      <w:r w:rsidRPr="00F44D0A">
        <w:t>In subsection 401.02(b</w:t>
      </w:r>
      <w:r w:rsidR="002D5092" w:rsidRPr="00F44D0A">
        <w:t>) delete Table 401</w:t>
      </w:r>
      <w:r w:rsidR="002D5092" w:rsidRPr="00F44D0A">
        <w:noBreakHyphen/>
        <w:t>1, including the footnotes, and replace with the following</w:t>
      </w:r>
      <w:r w:rsidR="002D5092" w:rsidRPr="008717DC">
        <w:t>:</w:t>
      </w:r>
    </w:p>
    <w:p w14:paraId="472EDB22" w14:textId="77777777" w:rsidR="002D5092" w:rsidRPr="008717DC" w:rsidRDefault="002D5092" w:rsidP="003E0A99">
      <w:pPr>
        <w:pStyle w:val="Heading1"/>
        <w:rPr>
          <w:sz w:val="24"/>
          <w:szCs w:val="24"/>
        </w:rPr>
      </w:pPr>
      <w:r w:rsidRPr="008717DC">
        <w:rPr>
          <w:sz w:val="24"/>
          <w:szCs w:val="24"/>
        </w:rPr>
        <w:t>Table 401-1</w:t>
      </w:r>
    </w:p>
    <w:p w14:paraId="6B998C81" w14:textId="77777777" w:rsidR="002D5092" w:rsidRPr="008717DC" w:rsidRDefault="002D5092" w:rsidP="003E0A99">
      <w:pPr>
        <w:widowControl w:val="0"/>
        <w:tabs>
          <w:tab w:val="left" w:pos="0"/>
          <w:tab w:val="left" w:pos="360"/>
          <w:tab w:val="left" w:pos="0"/>
          <w:tab w:val="left" w:pos="360"/>
          <w:tab w:val="left" w:pos="0"/>
          <w:tab w:val="left" w:pos="360"/>
          <w:tab w:val="left" w:pos="0"/>
          <w:tab w:val="left" w:pos="360"/>
        </w:tabs>
        <w:spacing w:after="160" w:line="264" w:lineRule="atLeast"/>
        <w:jc w:val="center"/>
        <w:rPr>
          <w:rFonts w:ascii="Trebuchet MS" w:hAnsi="Trebuchet MS"/>
          <w:b/>
          <w:sz w:val="24"/>
          <w:szCs w:val="24"/>
        </w:rPr>
      </w:pPr>
      <w:r w:rsidRPr="008717DC">
        <w:rPr>
          <w:rFonts w:ascii="Trebuchet MS" w:hAnsi="Trebuchet MS"/>
          <w:b/>
          <w:sz w:val="24"/>
          <w:szCs w:val="24"/>
        </w:rPr>
        <w:t xml:space="preserve">Tolerances for Hot </w:t>
      </w:r>
      <w:r w:rsidR="00397942" w:rsidRPr="008717DC">
        <w:rPr>
          <w:rFonts w:ascii="Trebuchet MS" w:hAnsi="Trebuchet MS"/>
          <w:b/>
          <w:sz w:val="24"/>
          <w:szCs w:val="24"/>
        </w:rPr>
        <w:t>Mix Asphalt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Caption w:val="Table 401-1 Tolerances for Hot Mix Asphalt"/>
      </w:tblPr>
      <w:tblGrid>
        <w:gridCol w:w="4032"/>
        <w:gridCol w:w="2304"/>
      </w:tblGrid>
      <w:tr w:rsidR="004E5F7B" w:rsidRPr="008717DC" w14:paraId="16843820" w14:textId="77777777" w:rsidTr="00F44D0A">
        <w:trPr>
          <w:cantSplit/>
          <w:trHeight w:val="360"/>
          <w:tblHeader/>
          <w:jc w:val="center"/>
        </w:trPr>
        <w:tc>
          <w:tcPr>
            <w:tcW w:w="4032" w:type="dxa"/>
            <w:tcBorders>
              <w:top w:val="double" w:sz="4" w:space="0" w:color="auto"/>
              <w:bottom w:val="single" w:sz="12" w:space="0" w:color="auto"/>
            </w:tcBorders>
            <w:vAlign w:val="center"/>
          </w:tcPr>
          <w:p w14:paraId="7CB012F1" w14:textId="77777777" w:rsidR="004E5F7B" w:rsidRPr="008717DC" w:rsidRDefault="004E5F7B" w:rsidP="004E5F7B">
            <w:pPr>
              <w:jc w:val="center"/>
              <w:rPr>
                <w:rFonts w:ascii="Trebuchet MS" w:hAnsi="Trebuchet MS"/>
                <w:sz w:val="24"/>
                <w:szCs w:val="24"/>
              </w:rPr>
            </w:pPr>
            <w:r w:rsidRPr="008717DC">
              <w:rPr>
                <w:rFonts w:ascii="Trebuchet MS" w:hAnsi="Trebuchet MS"/>
                <w:b/>
                <w:sz w:val="24"/>
                <w:szCs w:val="24"/>
              </w:rPr>
              <w:t>Element</w:t>
            </w:r>
          </w:p>
        </w:tc>
        <w:tc>
          <w:tcPr>
            <w:tcW w:w="2304" w:type="dxa"/>
            <w:tcBorders>
              <w:top w:val="double" w:sz="4" w:space="0" w:color="auto"/>
              <w:bottom w:val="single" w:sz="12" w:space="0" w:color="auto"/>
            </w:tcBorders>
            <w:vAlign w:val="center"/>
          </w:tcPr>
          <w:p w14:paraId="09D39EEA" w14:textId="77777777" w:rsidR="004E5F7B" w:rsidRPr="008717DC" w:rsidRDefault="004E5F7B" w:rsidP="004E5F7B">
            <w:pPr>
              <w:jc w:val="center"/>
              <w:rPr>
                <w:rFonts w:ascii="Trebuchet MS" w:hAnsi="Trebuchet MS"/>
                <w:sz w:val="24"/>
                <w:szCs w:val="24"/>
              </w:rPr>
            </w:pPr>
            <w:r w:rsidRPr="008717DC">
              <w:rPr>
                <w:rFonts w:ascii="Trebuchet MS" w:hAnsi="Trebuchet MS"/>
                <w:b/>
                <w:sz w:val="24"/>
                <w:szCs w:val="24"/>
              </w:rPr>
              <w:t>Tolerance</w:t>
            </w:r>
          </w:p>
        </w:tc>
      </w:tr>
      <w:tr w:rsidR="004E5F7B" w:rsidRPr="008717DC" w14:paraId="3467F4ED" w14:textId="77777777" w:rsidTr="00F44D0A">
        <w:trPr>
          <w:trHeight w:val="360"/>
          <w:jc w:val="center"/>
        </w:trPr>
        <w:tc>
          <w:tcPr>
            <w:tcW w:w="4032" w:type="dxa"/>
            <w:tcBorders>
              <w:top w:val="single" w:sz="12" w:space="0" w:color="auto"/>
            </w:tcBorders>
            <w:shd w:val="clear" w:color="auto" w:fill="D9D9D9" w:themeFill="background1" w:themeFillShade="D9"/>
            <w:vAlign w:val="center"/>
          </w:tcPr>
          <w:p w14:paraId="6969D12E" w14:textId="77777777" w:rsidR="004E5F7B" w:rsidRPr="008717DC" w:rsidRDefault="004E5F7B" w:rsidP="004E5F7B">
            <w:pPr>
              <w:rPr>
                <w:rFonts w:ascii="Trebuchet MS" w:hAnsi="Trebuchet MS"/>
                <w:sz w:val="24"/>
                <w:szCs w:val="24"/>
              </w:rPr>
            </w:pPr>
            <w:r w:rsidRPr="008717DC">
              <w:rPr>
                <w:rFonts w:ascii="Trebuchet MS" w:hAnsi="Trebuchet MS"/>
                <w:sz w:val="24"/>
                <w:szCs w:val="24"/>
              </w:rPr>
              <w:t>Asphalt Cement Content</w:t>
            </w:r>
          </w:p>
        </w:tc>
        <w:tc>
          <w:tcPr>
            <w:tcW w:w="2304" w:type="dxa"/>
            <w:tcBorders>
              <w:top w:val="single" w:sz="12" w:space="0" w:color="auto"/>
            </w:tcBorders>
            <w:shd w:val="clear" w:color="auto" w:fill="D9D9D9" w:themeFill="background1" w:themeFillShade="D9"/>
          </w:tcPr>
          <w:p w14:paraId="1B8ABC56" w14:textId="77777777" w:rsidR="004E5F7B" w:rsidRPr="008717DC" w:rsidRDefault="004E5F7B">
            <w:pPr>
              <w:jc w:val="center"/>
              <w:rPr>
                <w:rFonts w:ascii="Trebuchet MS" w:hAnsi="Trebuchet MS"/>
                <w:sz w:val="24"/>
                <w:szCs w:val="24"/>
              </w:rPr>
            </w:pPr>
            <w:r w:rsidRPr="008717DC">
              <w:rPr>
                <w:rFonts w:ascii="Trebuchet MS" w:hAnsi="Trebuchet MS"/>
                <w:sz w:val="24"/>
                <w:szCs w:val="24"/>
                <w:u w:val="single"/>
              </w:rPr>
              <w:t>+</w:t>
            </w:r>
            <w:r w:rsidRPr="008717DC">
              <w:rPr>
                <w:rFonts w:ascii="Trebuchet MS" w:hAnsi="Trebuchet MS"/>
                <w:sz w:val="24"/>
                <w:szCs w:val="24"/>
              </w:rPr>
              <w:t xml:space="preserve">  0.3 %</w:t>
            </w:r>
          </w:p>
        </w:tc>
      </w:tr>
      <w:tr w:rsidR="004E5F7B" w:rsidRPr="008717DC" w14:paraId="246C8A78" w14:textId="77777777" w:rsidTr="00F44D0A">
        <w:trPr>
          <w:trHeight w:val="360"/>
          <w:jc w:val="center"/>
        </w:trPr>
        <w:tc>
          <w:tcPr>
            <w:tcW w:w="4032" w:type="dxa"/>
            <w:vAlign w:val="center"/>
          </w:tcPr>
          <w:p w14:paraId="132BFF18" w14:textId="77777777" w:rsidR="004E5F7B" w:rsidRPr="008717DC" w:rsidRDefault="004E5F7B" w:rsidP="004E5F7B">
            <w:pPr>
              <w:rPr>
                <w:rFonts w:ascii="Trebuchet MS" w:hAnsi="Trebuchet MS"/>
                <w:sz w:val="24"/>
                <w:szCs w:val="24"/>
              </w:rPr>
            </w:pPr>
            <w:r w:rsidRPr="008717DC">
              <w:rPr>
                <w:rFonts w:ascii="Trebuchet MS" w:hAnsi="Trebuchet MS"/>
                <w:sz w:val="24"/>
                <w:szCs w:val="24"/>
              </w:rPr>
              <w:t>Voids in the Mineral Aggregate (VMA)</w:t>
            </w:r>
          </w:p>
        </w:tc>
        <w:tc>
          <w:tcPr>
            <w:tcW w:w="2304" w:type="dxa"/>
          </w:tcPr>
          <w:p w14:paraId="19E5EAC7" w14:textId="77777777" w:rsidR="004E5F7B" w:rsidRPr="008717DC" w:rsidRDefault="004E5F7B">
            <w:pPr>
              <w:jc w:val="center"/>
              <w:rPr>
                <w:rFonts w:ascii="Trebuchet MS" w:hAnsi="Trebuchet MS"/>
                <w:sz w:val="24"/>
                <w:szCs w:val="24"/>
              </w:rPr>
            </w:pPr>
            <w:r w:rsidRPr="008717DC">
              <w:rPr>
                <w:rFonts w:ascii="Trebuchet MS" w:hAnsi="Trebuchet MS"/>
                <w:sz w:val="24"/>
                <w:szCs w:val="24"/>
                <w:u w:val="single"/>
              </w:rPr>
              <w:t>+</w:t>
            </w:r>
            <w:r w:rsidRPr="008717DC">
              <w:rPr>
                <w:rFonts w:ascii="Trebuchet MS" w:hAnsi="Trebuchet MS"/>
                <w:sz w:val="24"/>
                <w:szCs w:val="24"/>
              </w:rPr>
              <w:t xml:space="preserve"> 1.2 %</w:t>
            </w:r>
          </w:p>
        </w:tc>
      </w:tr>
      <w:tr w:rsidR="004E5F7B" w:rsidRPr="008717DC" w14:paraId="707811D2" w14:textId="77777777" w:rsidTr="00F44D0A">
        <w:trPr>
          <w:trHeight w:val="360"/>
          <w:jc w:val="center"/>
        </w:trPr>
        <w:tc>
          <w:tcPr>
            <w:tcW w:w="4032" w:type="dxa"/>
            <w:shd w:val="clear" w:color="auto" w:fill="D9D9D9" w:themeFill="background1" w:themeFillShade="D9"/>
            <w:vAlign w:val="center"/>
          </w:tcPr>
          <w:p w14:paraId="7308DD94" w14:textId="77777777" w:rsidR="004E5F7B" w:rsidRPr="008717DC" w:rsidRDefault="004E5F7B" w:rsidP="004E5F7B">
            <w:pPr>
              <w:rPr>
                <w:rFonts w:ascii="Trebuchet MS" w:hAnsi="Trebuchet MS"/>
                <w:sz w:val="24"/>
                <w:szCs w:val="24"/>
              </w:rPr>
            </w:pPr>
            <w:r w:rsidRPr="008717DC">
              <w:rPr>
                <w:rFonts w:ascii="Trebuchet MS" w:hAnsi="Trebuchet MS"/>
                <w:sz w:val="24"/>
                <w:szCs w:val="24"/>
              </w:rPr>
              <w:t>Air Voids</w:t>
            </w:r>
          </w:p>
        </w:tc>
        <w:tc>
          <w:tcPr>
            <w:tcW w:w="2304" w:type="dxa"/>
            <w:shd w:val="clear" w:color="auto" w:fill="D9D9D9" w:themeFill="background1" w:themeFillShade="D9"/>
          </w:tcPr>
          <w:p w14:paraId="36297B9D" w14:textId="77777777" w:rsidR="004E5F7B" w:rsidRPr="008717DC" w:rsidRDefault="004E5F7B">
            <w:pPr>
              <w:jc w:val="center"/>
              <w:rPr>
                <w:rFonts w:ascii="Trebuchet MS" w:hAnsi="Trebuchet MS"/>
                <w:sz w:val="24"/>
                <w:szCs w:val="24"/>
              </w:rPr>
            </w:pPr>
            <w:r w:rsidRPr="008717DC">
              <w:rPr>
                <w:rFonts w:ascii="Trebuchet MS" w:hAnsi="Trebuchet MS"/>
                <w:sz w:val="24"/>
                <w:szCs w:val="24"/>
                <w:u w:val="single"/>
              </w:rPr>
              <w:t>+</w:t>
            </w:r>
            <w:r w:rsidRPr="008717DC">
              <w:rPr>
                <w:rFonts w:ascii="Trebuchet MS" w:hAnsi="Trebuchet MS"/>
                <w:sz w:val="24"/>
                <w:szCs w:val="24"/>
              </w:rPr>
              <w:t xml:space="preserve"> 1.2 %</w:t>
            </w:r>
          </w:p>
        </w:tc>
      </w:tr>
    </w:tbl>
    <w:p w14:paraId="495092AF" w14:textId="77777777" w:rsidR="004E5F7B" w:rsidRPr="008717DC" w:rsidRDefault="004E5F7B">
      <w:pPr>
        <w:jc w:val="center"/>
        <w:rPr>
          <w:rFonts w:ascii="Trebuchet MS" w:hAnsi="Trebuchet MS"/>
        </w:rPr>
      </w:pPr>
    </w:p>
    <w:sectPr w:rsidR="004E5F7B" w:rsidRPr="008717DC" w:rsidSect="00EC6CE6">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03093" w14:textId="77777777" w:rsidR="00841BA3" w:rsidRDefault="00841BA3" w:rsidP="002D5092">
      <w:pPr>
        <w:pStyle w:val="Header"/>
      </w:pPr>
      <w:r>
        <w:separator/>
      </w:r>
    </w:p>
  </w:endnote>
  <w:endnote w:type="continuationSeparator" w:id="0">
    <w:p w14:paraId="3294D2F4" w14:textId="77777777" w:rsidR="00841BA3" w:rsidRDefault="00841BA3" w:rsidP="002D509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08EA" w14:textId="77777777" w:rsidR="00841BA3" w:rsidRDefault="00841BA3" w:rsidP="002D5092">
      <w:pPr>
        <w:pStyle w:val="Header"/>
      </w:pPr>
      <w:r>
        <w:separator/>
      </w:r>
    </w:p>
  </w:footnote>
  <w:footnote w:type="continuationSeparator" w:id="0">
    <w:p w14:paraId="1272202D" w14:textId="77777777" w:rsidR="00841BA3" w:rsidRDefault="00841BA3" w:rsidP="002D5092">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0F7D" w14:textId="77777777" w:rsidR="00046B46" w:rsidRDefault="00046B46" w:rsidP="00FD31A2">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p>
  <w:p w14:paraId="611FB00B" w14:textId="57AA1149" w:rsidR="00FD31A2" w:rsidRPr="00FD31A2" w:rsidRDefault="00FD31A2" w:rsidP="00FD31A2">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r w:rsidRPr="00FD31A2">
      <w:rPr>
        <w:rFonts w:ascii="Trebuchet MS" w:hAnsi="Trebuchet MS" w:cs="Arial"/>
        <w:b/>
        <w:sz w:val="28"/>
        <w:szCs w:val="28"/>
      </w:rPr>
      <w:t>October 1, 2023</w:t>
    </w:r>
  </w:p>
  <w:p w14:paraId="17B18FD5" w14:textId="77777777" w:rsidR="00FD31A2" w:rsidRPr="00FD31A2" w:rsidRDefault="00FD31A2" w:rsidP="00FD31A2">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p>
  <w:p w14:paraId="11E79F32" w14:textId="77777777" w:rsidR="00FD31A2" w:rsidRPr="00FD31A2" w:rsidRDefault="00FD31A2" w:rsidP="00FD31A2">
    <w:pPr>
      <w:widowControl w:val="0"/>
      <w:tabs>
        <w:tab w:val="left" w:pos="0"/>
        <w:tab w:val="left" w:pos="360"/>
        <w:tab w:val="left" w:pos="720"/>
        <w:tab w:val="left" w:pos="1080"/>
        <w:tab w:val="left" w:pos="1440"/>
        <w:tab w:val="left" w:pos="1800"/>
      </w:tabs>
      <w:jc w:val="center"/>
      <w:rPr>
        <w:rFonts w:ascii="Trebuchet MS" w:hAnsi="Trebuchet MS"/>
        <w:b/>
        <w:sz w:val="28"/>
        <w:szCs w:val="28"/>
      </w:rPr>
    </w:pPr>
    <w:r w:rsidRPr="00FD31A2">
      <w:rPr>
        <w:rFonts w:ascii="Trebuchet MS" w:hAnsi="Trebuchet MS"/>
        <w:b/>
        <w:sz w:val="28"/>
        <w:szCs w:val="28"/>
      </w:rPr>
      <w:t>1</w:t>
    </w:r>
  </w:p>
  <w:p w14:paraId="4106BDAC" w14:textId="77777777" w:rsidR="00FD31A2" w:rsidRPr="00FD31A2" w:rsidRDefault="00FD31A2" w:rsidP="00FD31A2">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5CC6D" w14:textId="77777777" w:rsidR="000C1A8A" w:rsidRDefault="000C1A8A" w:rsidP="000C1A8A">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p>
  <w:p w14:paraId="35A890A5" w14:textId="1A89E3D3" w:rsidR="000C1A8A" w:rsidRPr="000C1A8A" w:rsidRDefault="000C1A8A" w:rsidP="000C1A8A">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r w:rsidRPr="000C1A8A">
      <w:rPr>
        <w:rFonts w:ascii="Trebuchet MS" w:hAnsi="Trebuchet MS" w:cs="Arial"/>
        <w:b/>
        <w:sz w:val="28"/>
        <w:szCs w:val="28"/>
      </w:rPr>
      <w:t>October 1, 2023</w:t>
    </w:r>
  </w:p>
  <w:p w14:paraId="1EC1E49B" w14:textId="77777777" w:rsidR="000C1A8A" w:rsidRPr="000C1A8A" w:rsidRDefault="000C1A8A" w:rsidP="000C1A8A">
    <w:pPr>
      <w:widowControl w:val="0"/>
      <w:tabs>
        <w:tab w:val="left" w:pos="0"/>
        <w:tab w:val="left" w:pos="360"/>
        <w:tab w:val="left" w:pos="720"/>
        <w:tab w:val="left" w:pos="1080"/>
        <w:tab w:val="left" w:pos="1440"/>
        <w:tab w:val="left" w:pos="1800"/>
      </w:tabs>
      <w:jc w:val="right"/>
      <w:rPr>
        <w:rFonts w:ascii="Trebuchet MS" w:hAnsi="Trebuchet MS" w:cs="Arial"/>
        <w:b/>
        <w:sz w:val="28"/>
        <w:szCs w:val="28"/>
      </w:rPr>
    </w:pPr>
  </w:p>
  <w:p w14:paraId="387999B4" w14:textId="77777777" w:rsidR="000C1A8A" w:rsidRPr="000C1A8A" w:rsidRDefault="000C1A8A" w:rsidP="000C1A8A">
    <w:pPr>
      <w:widowControl w:val="0"/>
      <w:tabs>
        <w:tab w:val="left" w:pos="0"/>
        <w:tab w:val="left" w:pos="360"/>
        <w:tab w:val="left" w:pos="720"/>
        <w:tab w:val="left" w:pos="1080"/>
        <w:tab w:val="left" w:pos="1440"/>
        <w:tab w:val="left" w:pos="1800"/>
      </w:tabs>
      <w:jc w:val="center"/>
      <w:rPr>
        <w:rFonts w:ascii="Trebuchet MS" w:hAnsi="Trebuchet MS"/>
        <w:b/>
        <w:sz w:val="28"/>
        <w:szCs w:val="28"/>
      </w:rPr>
    </w:pPr>
    <w:r w:rsidRPr="000C1A8A">
      <w:rPr>
        <w:rFonts w:ascii="Trebuchet MS" w:hAnsi="Trebuchet MS"/>
        <w:b/>
        <w:sz w:val="28"/>
        <w:szCs w:val="28"/>
      </w:rPr>
      <w:t>Revision of Section 401</w:t>
    </w:r>
  </w:p>
  <w:p w14:paraId="2C0A60BD" w14:textId="77777777" w:rsidR="000C1A8A" w:rsidRPr="000C1A8A" w:rsidRDefault="000C1A8A" w:rsidP="000C1A8A">
    <w:pPr>
      <w:widowControl w:val="0"/>
      <w:tabs>
        <w:tab w:val="left" w:pos="0"/>
        <w:tab w:val="left" w:pos="360"/>
        <w:tab w:val="left" w:pos="720"/>
        <w:tab w:val="left" w:pos="1080"/>
        <w:tab w:val="left" w:pos="1440"/>
        <w:tab w:val="left" w:pos="1800"/>
      </w:tabs>
      <w:jc w:val="center"/>
      <w:rPr>
        <w:rFonts w:ascii="Trebuchet MS" w:hAnsi="Trebuchet MS"/>
        <w:b/>
        <w:sz w:val="28"/>
        <w:szCs w:val="28"/>
      </w:rPr>
    </w:pPr>
    <w:r w:rsidRPr="000C1A8A">
      <w:rPr>
        <w:rFonts w:ascii="Trebuchet MS" w:hAnsi="Trebuchet MS"/>
        <w:b/>
        <w:sz w:val="28"/>
        <w:szCs w:val="28"/>
      </w:rPr>
      <w:t>Tolerances for Hot Mix Asphalt (Voids Acceptance)</w:t>
    </w:r>
  </w:p>
  <w:p w14:paraId="3A69BAC9" w14:textId="77777777" w:rsidR="000C1A8A" w:rsidRPr="000C1A8A" w:rsidRDefault="000C1A8A">
    <w:pPr>
      <w:pStyle w:val="Head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2"/>
    <w:rsid w:val="00046B46"/>
    <w:rsid w:val="00082930"/>
    <w:rsid w:val="00092D5B"/>
    <w:rsid w:val="000C1A8A"/>
    <w:rsid w:val="00144A94"/>
    <w:rsid w:val="001E3FBF"/>
    <w:rsid w:val="00252671"/>
    <w:rsid w:val="00290A12"/>
    <w:rsid w:val="002D17A6"/>
    <w:rsid w:val="002D5092"/>
    <w:rsid w:val="00357B6B"/>
    <w:rsid w:val="00397942"/>
    <w:rsid w:val="003E0A99"/>
    <w:rsid w:val="004E5F7B"/>
    <w:rsid w:val="0055327B"/>
    <w:rsid w:val="005643FB"/>
    <w:rsid w:val="005868FD"/>
    <w:rsid w:val="00686E5B"/>
    <w:rsid w:val="00687DD6"/>
    <w:rsid w:val="006970E9"/>
    <w:rsid w:val="006A79C7"/>
    <w:rsid w:val="00705B59"/>
    <w:rsid w:val="00734DB6"/>
    <w:rsid w:val="007755A7"/>
    <w:rsid w:val="007B0C64"/>
    <w:rsid w:val="007E0D52"/>
    <w:rsid w:val="0082339C"/>
    <w:rsid w:val="00841BA3"/>
    <w:rsid w:val="008717DC"/>
    <w:rsid w:val="008A18EB"/>
    <w:rsid w:val="008A6ACD"/>
    <w:rsid w:val="009013A8"/>
    <w:rsid w:val="009160B7"/>
    <w:rsid w:val="009F0DBE"/>
    <w:rsid w:val="00A01174"/>
    <w:rsid w:val="00A04928"/>
    <w:rsid w:val="00A24A0D"/>
    <w:rsid w:val="00A32F3F"/>
    <w:rsid w:val="00A63D6C"/>
    <w:rsid w:val="00AB7457"/>
    <w:rsid w:val="00BC222E"/>
    <w:rsid w:val="00BC6243"/>
    <w:rsid w:val="00BD75CD"/>
    <w:rsid w:val="00BE24BD"/>
    <w:rsid w:val="00BF2B31"/>
    <w:rsid w:val="00CB3F8D"/>
    <w:rsid w:val="00CB6144"/>
    <w:rsid w:val="00CF755C"/>
    <w:rsid w:val="00D5614D"/>
    <w:rsid w:val="00D9250C"/>
    <w:rsid w:val="00E350D6"/>
    <w:rsid w:val="00EB5426"/>
    <w:rsid w:val="00EC6CE6"/>
    <w:rsid w:val="00F44D0A"/>
    <w:rsid w:val="00FD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64C89"/>
  <w15:docId w15:val="{4D265E93-AAC3-42AB-8862-3C57EAB3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6CE6"/>
  </w:style>
  <w:style w:type="paragraph" w:styleId="Heading1">
    <w:name w:val="heading 1"/>
    <w:basedOn w:val="Normal"/>
    <w:next w:val="Normal"/>
    <w:qFormat/>
    <w:rsid w:val="00F44D0A"/>
    <w:pPr>
      <w:keepNext/>
      <w:widowControl w:val="0"/>
      <w:tabs>
        <w:tab w:val="left" w:pos="0"/>
        <w:tab w:val="left" w:pos="360"/>
        <w:tab w:val="left" w:pos="0"/>
        <w:tab w:val="left" w:pos="360"/>
        <w:tab w:val="left" w:pos="0"/>
        <w:tab w:val="left" w:pos="360"/>
        <w:tab w:val="left" w:pos="0"/>
        <w:tab w:val="left" w:pos="360"/>
      </w:tabs>
      <w:spacing w:line="264" w:lineRule="atLeast"/>
      <w:jc w:val="center"/>
      <w:outlineLvl w:val="0"/>
    </w:pPr>
    <w:rPr>
      <w:rFonts w:ascii="Trebuchet MS" w:hAnsi="Trebuchet MS"/>
      <w:b/>
      <w:sz w:val="40"/>
    </w:rPr>
  </w:style>
  <w:style w:type="paragraph" w:styleId="Heading2">
    <w:name w:val="heading 2"/>
    <w:basedOn w:val="Normal"/>
    <w:next w:val="Normal"/>
    <w:link w:val="Heading2Char"/>
    <w:unhideWhenUsed/>
    <w:qFormat/>
    <w:rsid w:val="009160B7"/>
    <w:pPr>
      <w:keepNext/>
      <w:keepLines/>
      <w:spacing w:before="4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6CE6"/>
    <w:pPr>
      <w:widowControl w:val="0"/>
    </w:pPr>
    <w:rPr>
      <w:noProof/>
      <w:color w:val="000000"/>
      <w:sz w:val="28"/>
    </w:rPr>
  </w:style>
  <w:style w:type="paragraph" w:styleId="Header">
    <w:name w:val="header"/>
    <w:basedOn w:val="Normal"/>
    <w:rsid w:val="00A32F3F"/>
    <w:pPr>
      <w:tabs>
        <w:tab w:val="center" w:pos="4320"/>
        <w:tab w:val="right" w:pos="8640"/>
      </w:tabs>
    </w:pPr>
  </w:style>
  <w:style w:type="paragraph" w:styleId="Footer">
    <w:name w:val="footer"/>
    <w:basedOn w:val="Normal"/>
    <w:rsid w:val="00A32F3F"/>
    <w:pPr>
      <w:tabs>
        <w:tab w:val="center" w:pos="4320"/>
        <w:tab w:val="right" w:pos="8640"/>
      </w:tabs>
    </w:pPr>
  </w:style>
  <w:style w:type="table" w:styleId="TableGrid">
    <w:name w:val="Table Grid"/>
    <w:basedOn w:val="TableNormal"/>
    <w:rsid w:val="004E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60B7"/>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401 Tolerances for Hot Mix Asphalt (Voids Acceptance) July 21, 1999</vt:lpstr>
    </vt:vector>
  </TitlesOfParts>
  <Company>Staff Design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Tolerances for Hot Mix Asphalt (Voids Acceptance) July 21, 1999</dc:title>
  <dc:creator>coyv</dc:creator>
  <cp:lastModifiedBy>Kayen, Michele</cp:lastModifiedBy>
  <cp:revision>2</cp:revision>
  <dcterms:created xsi:type="dcterms:W3CDTF">2025-02-06T22:14:00Z</dcterms:created>
  <dcterms:modified xsi:type="dcterms:W3CDTF">2025-02-06T22:14:00Z</dcterms:modified>
</cp:coreProperties>
</file>