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08" w:rsidRDefault="001F44A2" w:rsidP="009F7E08">
      <w:pPr>
        <w:pStyle w:val="Header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9F7E08" w:rsidRDefault="009F7E08" w:rsidP="009F7E08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REVISION OF SECTION 420</w:t>
      </w:r>
    </w:p>
    <w:p w:rsidR="009F7E08" w:rsidRPr="007213EA" w:rsidRDefault="009F7E08" w:rsidP="009F7E08">
      <w:pPr>
        <w:pStyle w:val="Header"/>
        <w:spacing w:after="120"/>
        <w:jc w:val="center"/>
        <w:rPr>
          <w:color w:val="FF0000"/>
        </w:rPr>
      </w:pPr>
      <w:r>
        <w:rPr>
          <w:rFonts w:ascii="Times New Roman" w:hAnsi="Times New Roman"/>
        </w:rPr>
        <w:t xml:space="preserve">MEDIA FILTER </w:t>
      </w:r>
      <w:r w:rsidRPr="00FC6083">
        <w:rPr>
          <w:rFonts w:ascii="Times New Roman" w:hAnsi="Times New Roman"/>
        </w:rPr>
        <w:t>DRAIN (MFD)</w:t>
      </w:r>
      <w:r>
        <w:rPr>
          <w:rFonts w:ascii="Times New Roman" w:hAnsi="Times New Roman"/>
          <w:color w:val="FF0000"/>
        </w:rPr>
        <w:t xml:space="preserve"> 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Section 420 of the Standard Specifications is hereby revised for this project to include the following: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Subsection 420.01 shall include the following: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 xml:space="preserve">This work </w:t>
      </w:r>
      <w:r w:rsidR="00CD04E4">
        <w:rPr>
          <w:rFonts w:ascii="Times New Roman" w:hAnsi="Times New Roman"/>
        </w:rPr>
        <w:t>includes</w:t>
      </w:r>
      <w:r w:rsidRPr="000E34C8">
        <w:rPr>
          <w:rFonts w:ascii="Times New Roman" w:hAnsi="Times New Roman"/>
        </w:rPr>
        <w:t xml:space="preserve"> the construction of </w:t>
      </w:r>
      <w:r w:rsidRPr="000E5C98">
        <w:rPr>
          <w:rFonts w:ascii="Times New Roman" w:hAnsi="Times New Roman"/>
        </w:rPr>
        <w:t>Media Filter Drain</w:t>
      </w:r>
      <w:r w:rsidRPr="000E34C8">
        <w:rPr>
          <w:rFonts w:ascii="Times New Roman" w:hAnsi="Times New Roman"/>
        </w:rPr>
        <w:t xml:space="preserve"> (MFD) at locations as shown on the plans.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Subsection 420.02 shall include the following:</w:t>
      </w:r>
    </w:p>
    <w:p w:rsidR="00414607" w:rsidRDefault="00414607" w:rsidP="009F7E08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/>
        </w:rPr>
      </w:pPr>
      <w:r w:rsidRPr="000E5C98">
        <w:rPr>
          <w:rFonts w:ascii="Times New Roman" w:hAnsi="Times New Roman"/>
          <w:i/>
        </w:rPr>
        <w:t>Media Filter Drain (MFD) mix</w:t>
      </w:r>
      <w:r>
        <w:rPr>
          <w:rFonts w:ascii="Times New Roman" w:hAnsi="Times New Roman"/>
        </w:rPr>
        <w:t>.  MFD mix</w:t>
      </w:r>
      <w:r w:rsidRPr="000E5C98">
        <w:rPr>
          <w:rFonts w:ascii="Times New Roman" w:hAnsi="Times New Roman"/>
        </w:rPr>
        <w:t xml:space="preserve"> shall be comp</w:t>
      </w:r>
      <w:r w:rsidR="00646D9B">
        <w:rPr>
          <w:rFonts w:ascii="Times New Roman" w:hAnsi="Times New Roman"/>
        </w:rPr>
        <w:t>o</w:t>
      </w:r>
      <w:r w:rsidRPr="000E5C98">
        <w:rPr>
          <w:rFonts w:ascii="Times New Roman" w:hAnsi="Times New Roman"/>
        </w:rPr>
        <w:t xml:space="preserve">sed </w:t>
      </w:r>
      <w:r>
        <w:rPr>
          <w:rFonts w:ascii="Times New Roman" w:hAnsi="Times New Roman"/>
        </w:rPr>
        <w:t xml:space="preserve">of </w:t>
      </w:r>
      <w:r w:rsidRPr="000E5C98">
        <w:rPr>
          <w:rFonts w:ascii="Times New Roman" w:hAnsi="Times New Roman"/>
        </w:rPr>
        <w:t xml:space="preserve">aggregate, </w:t>
      </w:r>
      <w:r>
        <w:rPr>
          <w:rFonts w:ascii="Times New Roman" w:hAnsi="Times New Roman"/>
        </w:rPr>
        <w:t>horticultural grade perlite</w:t>
      </w:r>
      <w:r w:rsidRPr="000E5C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Pr="000E5C98">
        <w:rPr>
          <w:rFonts w:ascii="Times New Roman" w:hAnsi="Times New Roman"/>
        </w:rPr>
        <w:t xml:space="preserve">gricultural </w:t>
      </w:r>
      <w:r>
        <w:rPr>
          <w:rFonts w:ascii="Times New Roman" w:hAnsi="Times New Roman"/>
        </w:rPr>
        <w:t>g</w:t>
      </w:r>
      <w:r w:rsidRPr="000E5C98">
        <w:rPr>
          <w:rFonts w:ascii="Times New Roman" w:hAnsi="Times New Roman"/>
        </w:rPr>
        <w:t xml:space="preserve">rade </w:t>
      </w:r>
      <w:r>
        <w:rPr>
          <w:rFonts w:ascii="Times New Roman" w:hAnsi="Times New Roman"/>
        </w:rPr>
        <w:t>d</w:t>
      </w:r>
      <w:r w:rsidRPr="000E5C98">
        <w:rPr>
          <w:rFonts w:ascii="Times New Roman" w:hAnsi="Times New Roman"/>
        </w:rPr>
        <w:t xml:space="preserve">olomite, and </w:t>
      </w:r>
      <w:proofErr w:type="spellStart"/>
      <w:r w:rsidRPr="00AB56C5">
        <w:rPr>
          <w:rFonts w:ascii="Times New Roman" w:hAnsi="Times New Roman"/>
        </w:rPr>
        <w:t>noncalcined</w:t>
      </w:r>
      <w:proofErr w:type="spellEnd"/>
      <w:r>
        <w:rPr>
          <w:rFonts w:ascii="Times New Roman" w:hAnsi="Times New Roman"/>
        </w:rPr>
        <w:t xml:space="preserve"> a</w:t>
      </w:r>
      <w:r w:rsidRPr="000E5C98">
        <w:rPr>
          <w:rFonts w:ascii="Times New Roman" w:hAnsi="Times New Roman"/>
        </w:rPr>
        <w:t xml:space="preserve">gricultural </w:t>
      </w:r>
      <w:r>
        <w:rPr>
          <w:rFonts w:ascii="Times New Roman" w:hAnsi="Times New Roman"/>
        </w:rPr>
        <w:t>g</w:t>
      </w:r>
      <w:r w:rsidRPr="000E5C98">
        <w:rPr>
          <w:rFonts w:ascii="Times New Roman" w:hAnsi="Times New Roman"/>
        </w:rPr>
        <w:t xml:space="preserve">rade </w:t>
      </w:r>
      <w:r>
        <w:rPr>
          <w:rFonts w:ascii="Times New Roman" w:hAnsi="Times New Roman"/>
        </w:rPr>
        <w:t>g</w:t>
      </w:r>
      <w:r w:rsidRPr="000E5C98">
        <w:rPr>
          <w:rFonts w:ascii="Times New Roman" w:hAnsi="Times New Roman"/>
        </w:rPr>
        <w:t>ypsum</w:t>
      </w:r>
      <w:r>
        <w:rPr>
          <w:rFonts w:ascii="Times New Roman" w:hAnsi="Times New Roman"/>
        </w:rPr>
        <w:t>.</w:t>
      </w:r>
      <w:r w:rsidRPr="000E5C9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MFD</w:t>
      </w:r>
      <w:r w:rsidRPr="000E5C98">
        <w:rPr>
          <w:rFonts w:ascii="Times New Roman" w:hAnsi="Times New Roman"/>
        </w:rPr>
        <w:t xml:space="preserve"> mix shall be premixed prior to placement</w:t>
      </w:r>
      <w:r>
        <w:rPr>
          <w:rFonts w:ascii="Times New Roman" w:hAnsi="Times New Roman"/>
        </w:rPr>
        <w:t xml:space="preserve"> and shall meet the following proportions per cubic yard:</w:t>
      </w:r>
    </w:p>
    <w:tbl>
      <w:tblPr>
        <w:tblW w:w="0" w:type="auto"/>
        <w:tblInd w:w="3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1829"/>
      </w:tblGrid>
      <w:tr w:rsidR="00414607" w:rsidRPr="00FC6083" w:rsidTr="00C271E8">
        <w:trPr>
          <w:trHeight w:val="252"/>
        </w:trPr>
        <w:tc>
          <w:tcPr>
            <w:tcW w:w="1243" w:type="dxa"/>
            <w:tcBorders>
              <w:top w:val="double" w:sz="4" w:space="0" w:color="auto"/>
            </w:tcBorders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2"/>
              </w:rPr>
              <w:t>Material</w:t>
            </w:r>
          </w:p>
        </w:tc>
        <w:tc>
          <w:tcPr>
            <w:tcW w:w="1829" w:type="dxa"/>
            <w:tcBorders>
              <w:top w:val="double" w:sz="4" w:space="0" w:color="auto"/>
            </w:tcBorders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2"/>
              </w:rPr>
              <w:t>Quantity</w:t>
            </w:r>
          </w:p>
        </w:tc>
      </w:tr>
      <w:tr w:rsidR="00414607" w:rsidRPr="00FC6083" w:rsidTr="00C271E8">
        <w:trPr>
          <w:trHeight w:val="266"/>
        </w:trPr>
        <w:tc>
          <w:tcPr>
            <w:tcW w:w="1243" w:type="dxa"/>
            <w:shd w:val="clear" w:color="auto" w:fill="BFBFBF"/>
          </w:tcPr>
          <w:p w:rsidR="00414607" w:rsidRPr="00253222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Aggregate</w:t>
            </w:r>
          </w:p>
        </w:tc>
        <w:tc>
          <w:tcPr>
            <w:tcW w:w="1829" w:type="dxa"/>
            <w:shd w:val="clear" w:color="auto" w:fill="BFBFBF"/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0.75 cubic yards</w:t>
            </w:r>
          </w:p>
        </w:tc>
      </w:tr>
      <w:tr w:rsidR="00414607" w:rsidRPr="00FC6083" w:rsidTr="00C271E8">
        <w:trPr>
          <w:trHeight w:val="240"/>
        </w:trPr>
        <w:tc>
          <w:tcPr>
            <w:tcW w:w="1243" w:type="dxa"/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Perlite</w:t>
            </w:r>
          </w:p>
        </w:tc>
        <w:tc>
          <w:tcPr>
            <w:tcW w:w="1829" w:type="dxa"/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0.25 cubic yards </w:t>
            </w:r>
          </w:p>
        </w:tc>
      </w:tr>
      <w:tr w:rsidR="00414607" w:rsidRPr="00FC6083" w:rsidTr="00C271E8">
        <w:trPr>
          <w:trHeight w:val="266"/>
        </w:trPr>
        <w:tc>
          <w:tcPr>
            <w:tcW w:w="1243" w:type="dxa"/>
            <w:shd w:val="clear" w:color="auto" w:fill="BFBFBF"/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Dolomite</w:t>
            </w:r>
          </w:p>
        </w:tc>
        <w:tc>
          <w:tcPr>
            <w:tcW w:w="1829" w:type="dxa"/>
            <w:shd w:val="clear" w:color="auto" w:fill="BFBFBF"/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2.5 pounds </w:t>
            </w:r>
          </w:p>
        </w:tc>
      </w:tr>
      <w:tr w:rsidR="00414607" w:rsidRPr="00FC6083" w:rsidTr="00C271E8">
        <w:trPr>
          <w:trHeight w:val="252"/>
        </w:trPr>
        <w:tc>
          <w:tcPr>
            <w:tcW w:w="1243" w:type="dxa"/>
            <w:tcBorders>
              <w:bottom w:val="doub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Gypsum</w:t>
            </w:r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:rsidR="00414607" w:rsidRPr="000D7895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0.375 pounds </w:t>
            </w:r>
          </w:p>
        </w:tc>
      </w:tr>
    </w:tbl>
    <w:p w:rsidR="00414607" w:rsidRPr="00FC6083" w:rsidRDefault="00414607" w:rsidP="009F7E08">
      <w:pPr>
        <w:pStyle w:val="T4"/>
        <w:spacing w:after="120"/>
        <w:ind w:left="1080"/>
        <w:rPr>
          <w:rFonts w:ascii="Times New Roman" w:hAnsi="Times New Roman"/>
          <w:kern w:val="0"/>
          <w:szCs w:val="22"/>
        </w:rPr>
      </w:pPr>
    </w:p>
    <w:p w:rsidR="00414607" w:rsidRDefault="00414607" w:rsidP="009F7E08">
      <w:pPr>
        <w:pStyle w:val="T2"/>
        <w:spacing w:after="120"/>
        <w:rPr>
          <w:rFonts w:ascii="Times New Roman" w:hAnsi="Times New Roman"/>
        </w:rPr>
      </w:pPr>
      <w:r w:rsidRPr="000E5C98">
        <w:rPr>
          <w:rFonts w:ascii="Times New Roman" w:hAnsi="Times New Roman"/>
        </w:rPr>
        <w:t>The soil amendments and aggregate shall meet the following requirements prior to mixing</w:t>
      </w:r>
      <w:r>
        <w:rPr>
          <w:rFonts w:ascii="Times New Roman" w:hAnsi="Times New Roman"/>
        </w:rPr>
        <w:t>:</w:t>
      </w:r>
    </w:p>
    <w:p w:rsidR="00414607" w:rsidRPr="00FC6083" w:rsidRDefault="00414607" w:rsidP="009F7E08">
      <w:pPr>
        <w:pStyle w:val="T4"/>
        <w:numPr>
          <w:ilvl w:val="0"/>
          <w:numId w:val="20"/>
        </w:numPr>
        <w:spacing w:after="120"/>
        <w:ind w:left="720"/>
        <w:rPr>
          <w:rFonts w:ascii="Times New Roman" w:hAnsi="Times New Roman"/>
          <w:kern w:val="0"/>
          <w:szCs w:val="22"/>
        </w:rPr>
      </w:pPr>
      <w:r w:rsidRPr="0056109F">
        <w:rPr>
          <w:rFonts w:ascii="Times New Roman" w:hAnsi="Times New Roman"/>
          <w:kern w:val="0"/>
          <w:szCs w:val="22"/>
        </w:rPr>
        <w:t>Aggregate</w:t>
      </w:r>
      <w:r w:rsidRPr="00FC6083">
        <w:rPr>
          <w:rFonts w:ascii="Times New Roman" w:hAnsi="Times New Roman"/>
          <w:i/>
          <w:kern w:val="0"/>
          <w:szCs w:val="22"/>
        </w:rPr>
        <w:t xml:space="preserve">.  </w:t>
      </w:r>
      <w:r w:rsidRPr="00FC6083">
        <w:rPr>
          <w:rFonts w:ascii="Times New Roman" w:hAnsi="Times New Roman"/>
          <w:kern w:val="0"/>
          <w:szCs w:val="22"/>
        </w:rPr>
        <w:t xml:space="preserve">Aggregate for </w:t>
      </w:r>
      <w:r>
        <w:rPr>
          <w:rFonts w:ascii="Times New Roman" w:hAnsi="Times New Roman"/>
          <w:kern w:val="0"/>
          <w:szCs w:val="22"/>
        </w:rPr>
        <w:t>MFD</w:t>
      </w:r>
      <w:r w:rsidRPr="00FC6083">
        <w:rPr>
          <w:rFonts w:ascii="Times New Roman" w:hAnsi="Times New Roman"/>
          <w:kern w:val="0"/>
          <w:szCs w:val="22"/>
        </w:rPr>
        <w:t xml:space="preserve"> Mix shall be manufactured from ledge rock, talus, or gravel and shall meet the following test requirements for quality.  The use of recycled material is not permitted.</w:t>
      </w:r>
    </w:p>
    <w:p w:rsidR="00414607" w:rsidRPr="00FC6083" w:rsidRDefault="00414607" w:rsidP="009F7E08">
      <w:pPr>
        <w:pStyle w:val="T4"/>
        <w:tabs>
          <w:tab w:val="left" w:pos="5760"/>
        </w:tabs>
        <w:spacing w:after="120"/>
        <w:ind w:left="1699"/>
        <w:rPr>
          <w:rFonts w:ascii="Times New Roman" w:hAnsi="Times New Roman"/>
          <w:kern w:val="0"/>
          <w:szCs w:val="22"/>
        </w:rPr>
      </w:pPr>
      <w:r w:rsidRPr="00FC6083">
        <w:rPr>
          <w:rFonts w:ascii="Times New Roman" w:hAnsi="Times New Roman"/>
          <w:kern w:val="0"/>
          <w:szCs w:val="22"/>
        </w:rPr>
        <w:t xml:space="preserve">Los Angeles Wear, 500 Revolutions </w:t>
      </w:r>
      <w:r w:rsidRPr="00FC6083">
        <w:rPr>
          <w:rFonts w:ascii="Times New Roman" w:hAnsi="Times New Roman"/>
          <w:kern w:val="0"/>
          <w:szCs w:val="22"/>
        </w:rPr>
        <w:tab/>
        <w:t>35% max.</w:t>
      </w:r>
    </w:p>
    <w:p w:rsidR="00414607" w:rsidRPr="00FC6083" w:rsidRDefault="00414607" w:rsidP="009F7E08">
      <w:pPr>
        <w:pStyle w:val="T4"/>
        <w:tabs>
          <w:tab w:val="left" w:pos="5760"/>
        </w:tabs>
        <w:spacing w:after="120"/>
        <w:ind w:left="1699"/>
        <w:rPr>
          <w:rFonts w:ascii="Times New Roman" w:hAnsi="Times New Roman"/>
          <w:kern w:val="0"/>
          <w:szCs w:val="22"/>
        </w:rPr>
      </w:pPr>
      <w:r w:rsidRPr="00FC6083">
        <w:rPr>
          <w:rFonts w:ascii="Times New Roman" w:hAnsi="Times New Roman"/>
          <w:kern w:val="0"/>
          <w:szCs w:val="22"/>
        </w:rPr>
        <w:t>Degradation Factor</w:t>
      </w:r>
      <w:r w:rsidRPr="00FC6083">
        <w:rPr>
          <w:rFonts w:ascii="Times New Roman" w:hAnsi="Times New Roman"/>
          <w:kern w:val="0"/>
          <w:szCs w:val="22"/>
        </w:rPr>
        <w:tab/>
        <w:t>30 min.</w:t>
      </w:r>
    </w:p>
    <w:p w:rsidR="001F44A2" w:rsidRDefault="00414607" w:rsidP="009F7E08">
      <w:pPr>
        <w:pStyle w:val="T4"/>
        <w:spacing w:after="120"/>
        <w:ind w:left="720"/>
        <w:rPr>
          <w:rFonts w:ascii="Times New Roman" w:hAnsi="Times New Roman"/>
          <w:kern w:val="0"/>
          <w:szCs w:val="22"/>
        </w:rPr>
      </w:pPr>
      <w:r w:rsidRPr="00FC6083">
        <w:rPr>
          <w:rFonts w:ascii="Times New Roman" w:hAnsi="Times New Roman"/>
          <w:kern w:val="0"/>
          <w:szCs w:val="22"/>
        </w:rPr>
        <w:t>Aggregate shall meet the following requirement for grading and quality:</w:t>
      </w:r>
      <w:r>
        <w:rPr>
          <w:rFonts w:ascii="Times New Roman" w:hAnsi="Times New Roman"/>
          <w:kern w:val="0"/>
          <w:szCs w:val="22"/>
        </w:rPr>
        <w:t xml:space="preserve"> </w:t>
      </w:r>
    </w:p>
    <w:p w:rsidR="00414607" w:rsidRDefault="00414607" w:rsidP="009F7E08">
      <w:pPr>
        <w:pStyle w:val="T4"/>
        <w:spacing w:after="120"/>
        <w:ind w:left="720"/>
        <w:rPr>
          <w:rFonts w:ascii="Times New Roman" w:hAnsi="Times New Roman"/>
          <w:kern w:val="0"/>
          <w:szCs w:val="22"/>
        </w:rPr>
      </w:pPr>
      <w:r>
        <w:rPr>
          <w:rFonts w:ascii="Times New Roman" w:hAnsi="Times New Roman"/>
          <w:kern w:val="0"/>
          <w:szCs w:val="22"/>
        </w:rPr>
        <w:t xml:space="preserve">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740"/>
        <w:gridCol w:w="2923"/>
      </w:tblGrid>
      <w:tr w:rsidR="00414607" w:rsidTr="009046D8">
        <w:trPr>
          <w:jc w:val="center"/>
        </w:trPr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2"/>
              </w:rPr>
              <w:t>Sieve Size</w:t>
            </w: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2"/>
              </w:rPr>
              <w:t>Percent Passing (by weight)</w:t>
            </w:r>
          </w:p>
        </w:tc>
      </w:tr>
      <w:tr w:rsidR="00860EA4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0EA4" w:rsidRDefault="00860EA4" w:rsidP="009F7E08">
            <w:pPr>
              <w:pStyle w:val="T4"/>
              <w:spacing w:after="120"/>
              <w:ind w:left="0"/>
              <w:rPr>
                <w:rFonts w:ascii="Times New Roman" w:hAnsi="Times New Roman"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12.5 mm (1/2”)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</w:tcPr>
          <w:p w:rsidR="00860EA4" w:rsidRDefault="00860EA4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100</w:t>
            </w:r>
          </w:p>
        </w:tc>
      </w:tr>
      <w:tr w:rsidR="00414607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 xml:space="preserve"> 9.5 mm ( 3/8")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90-100</w:t>
            </w:r>
          </w:p>
        </w:tc>
      </w:tr>
      <w:tr w:rsidR="00414607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14607" w:rsidRDefault="00414607" w:rsidP="009F7E08">
            <w:pPr>
              <w:pStyle w:val="T4"/>
              <w:spacing w:after="120"/>
              <w:ind w:left="0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4.75 mm (No. 4)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30-56</w:t>
            </w:r>
          </w:p>
        </w:tc>
      </w:tr>
      <w:tr w:rsidR="00414607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14607" w:rsidRDefault="00271B9D" w:rsidP="009F7E08">
            <w:pPr>
              <w:pStyle w:val="T4"/>
              <w:spacing w:after="120"/>
              <w:ind w:left="0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2.36</w:t>
            </w:r>
            <w:r w:rsidR="00414607">
              <w:rPr>
                <w:rFonts w:ascii="Times New Roman" w:hAnsi="Times New Roman"/>
                <w:bCs/>
                <w:kern w:val="0"/>
                <w:szCs w:val="22"/>
              </w:rPr>
              <w:t xml:space="preserve"> mm (No. </w:t>
            </w:r>
            <w:r>
              <w:rPr>
                <w:rFonts w:ascii="Times New Roman" w:hAnsi="Times New Roman"/>
                <w:bCs/>
                <w:kern w:val="0"/>
                <w:szCs w:val="22"/>
              </w:rPr>
              <w:t>8</w:t>
            </w:r>
            <w:r w:rsidR="00414607">
              <w:rPr>
                <w:rFonts w:ascii="Times New Roman" w:hAnsi="Times New Roman"/>
                <w:bCs/>
                <w:kern w:val="0"/>
                <w:szCs w:val="22"/>
              </w:rPr>
              <w:t>)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0-10</w:t>
            </w:r>
          </w:p>
        </w:tc>
      </w:tr>
      <w:tr w:rsidR="00414607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14607" w:rsidRDefault="00414607" w:rsidP="009F7E08">
            <w:pPr>
              <w:pStyle w:val="T4"/>
              <w:spacing w:after="120"/>
              <w:ind w:left="0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 xml:space="preserve"> 75 </w:t>
            </w:r>
            <w:r w:rsidRPr="006B184D">
              <w:rPr>
                <w:rFonts w:ascii="Arial" w:hAnsi="Arial" w:cs="Arial"/>
                <w:sz w:val="20"/>
              </w:rPr>
              <w:t>µm</w:t>
            </w:r>
            <w:r>
              <w:rPr>
                <w:rFonts w:ascii="Times New Roman" w:hAnsi="Times New Roman"/>
                <w:bCs/>
                <w:kern w:val="0"/>
                <w:szCs w:val="22"/>
              </w:rPr>
              <w:t xml:space="preserve"> (No. 200)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414607" w:rsidRDefault="00467221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0-1.5</w:t>
            </w:r>
          </w:p>
        </w:tc>
      </w:tr>
      <w:tr w:rsidR="00414607" w:rsidTr="009046D8">
        <w:trPr>
          <w:jc w:val="center"/>
        </w:trPr>
        <w:tc>
          <w:tcPr>
            <w:tcW w:w="274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Cs w:val="22"/>
              </w:rPr>
              <w:t>% fracture, by weight, min.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14607" w:rsidRDefault="00414607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75</w:t>
            </w:r>
          </w:p>
        </w:tc>
      </w:tr>
    </w:tbl>
    <w:p w:rsidR="009F7E08" w:rsidRDefault="009F7E08" w:rsidP="009F7E08">
      <w:pPr>
        <w:pStyle w:val="T4"/>
        <w:spacing w:after="120"/>
        <w:ind w:left="1080"/>
        <w:rPr>
          <w:rFonts w:ascii="Times New Roman" w:hAnsi="Times New Roman"/>
          <w:kern w:val="0"/>
          <w:szCs w:val="22"/>
        </w:rPr>
      </w:pPr>
    </w:p>
    <w:p w:rsidR="00414607" w:rsidRPr="00FC6083" w:rsidRDefault="00414607" w:rsidP="00520ADA">
      <w:pPr>
        <w:pStyle w:val="T4"/>
        <w:spacing w:after="120"/>
        <w:ind w:left="720"/>
        <w:rPr>
          <w:rFonts w:ascii="Times New Roman" w:hAnsi="Times New Roman"/>
          <w:kern w:val="0"/>
          <w:szCs w:val="22"/>
        </w:rPr>
      </w:pPr>
      <w:r w:rsidRPr="00FC6083">
        <w:rPr>
          <w:rFonts w:ascii="Times New Roman" w:hAnsi="Times New Roman"/>
          <w:kern w:val="0"/>
          <w:szCs w:val="22"/>
        </w:rPr>
        <w:t xml:space="preserve">The fracture requirement shall be at least two fractured faces and will apply to material retained on the </w:t>
      </w:r>
      <w:r>
        <w:rPr>
          <w:rFonts w:ascii="Times New Roman" w:hAnsi="Times New Roman"/>
          <w:kern w:val="0"/>
          <w:szCs w:val="22"/>
        </w:rPr>
        <w:t>4.75 mm (</w:t>
      </w:r>
      <w:r w:rsidRPr="00FC6083">
        <w:rPr>
          <w:rFonts w:ascii="Times New Roman" w:hAnsi="Times New Roman"/>
          <w:kern w:val="0"/>
          <w:szCs w:val="22"/>
        </w:rPr>
        <w:t>No. 4</w:t>
      </w:r>
      <w:r>
        <w:rPr>
          <w:rFonts w:ascii="Times New Roman" w:hAnsi="Times New Roman"/>
          <w:kern w:val="0"/>
          <w:szCs w:val="22"/>
        </w:rPr>
        <w:t>)</w:t>
      </w:r>
      <w:r w:rsidRPr="00FC6083">
        <w:rPr>
          <w:rFonts w:ascii="Times New Roman" w:hAnsi="Times New Roman"/>
          <w:kern w:val="0"/>
          <w:szCs w:val="22"/>
        </w:rPr>
        <w:t xml:space="preserve"> sieve. </w:t>
      </w:r>
    </w:p>
    <w:p w:rsidR="00CD04E4" w:rsidRDefault="00414607" w:rsidP="00520ADA">
      <w:pPr>
        <w:pStyle w:val="T4"/>
        <w:spacing w:after="120"/>
        <w:ind w:left="720"/>
        <w:rPr>
          <w:rFonts w:ascii="Times New Roman" w:hAnsi="Times New Roman"/>
          <w:kern w:val="0"/>
          <w:szCs w:val="22"/>
        </w:rPr>
      </w:pPr>
      <w:r w:rsidRPr="00FC6083">
        <w:rPr>
          <w:rFonts w:ascii="Times New Roman" w:hAnsi="Times New Roman"/>
          <w:kern w:val="0"/>
          <w:szCs w:val="22"/>
        </w:rPr>
        <w:t>Aggre</w:t>
      </w:r>
      <w:r>
        <w:rPr>
          <w:rFonts w:ascii="Times New Roman" w:hAnsi="Times New Roman"/>
          <w:kern w:val="0"/>
          <w:szCs w:val="22"/>
        </w:rPr>
        <w:t>gate s</w:t>
      </w:r>
      <w:r w:rsidRPr="00FC6083">
        <w:rPr>
          <w:rFonts w:ascii="Times New Roman" w:hAnsi="Times New Roman"/>
          <w:kern w:val="0"/>
          <w:szCs w:val="22"/>
        </w:rPr>
        <w:t>hall be free from adherent coatings. The presence of a thin, firmly adhering film of weathered rock shall not be considered as coating unless it exists on more than 50</w:t>
      </w:r>
      <w:r>
        <w:rPr>
          <w:rFonts w:ascii="Times New Roman" w:hAnsi="Times New Roman"/>
          <w:kern w:val="0"/>
          <w:szCs w:val="22"/>
        </w:rPr>
        <w:t xml:space="preserve"> percent </w:t>
      </w:r>
      <w:r w:rsidRPr="00FC6083">
        <w:rPr>
          <w:rFonts w:ascii="Times New Roman" w:hAnsi="Times New Roman"/>
          <w:kern w:val="0"/>
          <w:szCs w:val="22"/>
        </w:rPr>
        <w:t>of the surface area of any size between successive laboratory sieves.</w:t>
      </w:r>
    </w:p>
    <w:p w:rsidR="00CD04E4" w:rsidRDefault="00CD04E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CD04E4" w:rsidRDefault="00CD04E4" w:rsidP="00CD04E4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CD04E4" w:rsidRDefault="00CD04E4" w:rsidP="00CD04E4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REVISION OF SECTION 420</w:t>
      </w:r>
    </w:p>
    <w:p w:rsidR="00CD04E4" w:rsidRPr="007213EA" w:rsidRDefault="00CD04E4" w:rsidP="00CD04E4">
      <w:pPr>
        <w:pStyle w:val="Header"/>
        <w:spacing w:after="120"/>
        <w:jc w:val="center"/>
        <w:rPr>
          <w:color w:val="FF0000"/>
        </w:rPr>
      </w:pPr>
      <w:r>
        <w:rPr>
          <w:rFonts w:ascii="Times New Roman" w:hAnsi="Times New Roman"/>
        </w:rPr>
        <w:t xml:space="preserve">MEDIA FILTER </w:t>
      </w:r>
      <w:r w:rsidRPr="00FC6083">
        <w:rPr>
          <w:rFonts w:ascii="Times New Roman" w:hAnsi="Times New Roman"/>
        </w:rPr>
        <w:t>DRAIN (MFD)</w:t>
      </w:r>
      <w:r>
        <w:rPr>
          <w:rFonts w:ascii="Times New Roman" w:hAnsi="Times New Roman"/>
          <w:color w:val="FF0000"/>
        </w:rPr>
        <w:t xml:space="preserve"> </w:t>
      </w:r>
    </w:p>
    <w:p w:rsidR="00414607" w:rsidRPr="0056109F" w:rsidRDefault="00414607" w:rsidP="009F7E08">
      <w:pPr>
        <w:pStyle w:val="T4"/>
        <w:numPr>
          <w:ilvl w:val="0"/>
          <w:numId w:val="20"/>
        </w:numPr>
        <w:spacing w:after="120"/>
        <w:ind w:left="720"/>
        <w:rPr>
          <w:rFonts w:ascii="Times New Roman" w:hAnsi="Times New Roman"/>
          <w:szCs w:val="22"/>
        </w:rPr>
      </w:pPr>
      <w:r w:rsidRPr="0056109F">
        <w:rPr>
          <w:rFonts w:ascii="Times New Roman" w:hAnsi="Times New Roman"/>
          <w:b/>
        </w:rPr>
        <w:t xml:space="preserve"> </w:t>
      </w:r>
      <w:r w:rsidRPr="0056109F">
        <w:rPr>
          <w:rFonts w:ascii="Times New Roman" w:hAnsi="Times New Roman"/>
          <w:kern w:val="0"/>
          <w:szCs w:val="22"/>
        </w:rPr>
        <w:t>Horticultural</w:t>
      </w:r>
      <w:r w:rsidRPr="0056109F">
        <w:rPr>
          <w:rFonts w:ascii="Times New Roman" w:hAnsi="Times New Roman"/>
          <w:szCs w:val="22"/>
        </w:rPr>
        <w:t xml:space="preserve"> Grade Perlite:</w:t>
      </w:r>
    </w:p>
    <w:tbl>
      <w:tblPr>
        <w:tblStyle w:val="LightShading2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714"/>
      </w:tblGrid>
      <w:tr w:rsidR="00C271E8" w:rsidTr="00C27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Sieve Size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Percent Passing</w:t>
            </w:r>
          </w:p>
        </w:tc>
      </w:tr>
      <w:tr w:rsidR="00C271E8" w:rsidTr="00C27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sing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67221">
              <w:rPr>
                <w:rFonts w:ascii="Times New Roman" w:hAnsi="Times New Roman"/>
                <w:b w:val="0"/>
                <w:szCs w:val="22"/>
              </w:rPr>
              <w:t>1.18 mm (No. 16)</w:t>
            </w:r>
          </w:p>
        </w:tc>
        <w:tc>
          <w:tcPr>
            <w:tcW w:w="1714" w:type="dxa"/>
            <w:tcBorders>
              <w:left w:val="single" w:sz="4" w:space="0" w:color="auto"/>
              <w:right w:val="doub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0 – 30%</w:t>
            </w:r>
          </w:p>
        </w:tc>
      </w:tr>
      <w:tr w:rsidR="00C271E8" w:rsidTr="00C271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67221">
              <w:rPr>
                <w:rFonts w:ascii="Times New Roman" w:hAnsi="Times New Roman"/>
                <w:b w:val="0"/>
                <w:szCs w:val="22"/>
              </w:rPr>
              <w:t>600 µm (No. 30)</w:t>
            </w:r>
          </w:p>
        </w:tc>
        <w:tc>
          <w:tcPr>
            <w:tcW w:w="17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221" w:rsidRPr="00467221" w:rsidRDefault="00467221" w:rsidP="009F7E08">
            <w:pPr>
              <w:pStyle w:val="T4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0 – 10%</w:t>
            </w:r>
          </w:p>
        </w:tc>
      </w:tr>
    </w:tbl>
    <w:p w:rsidR="00467221" w:rsidRPr="002B7CBE" w:rsidRDefault="00467221" w:rsidP="009F7E08">
      <w:pPr>
        <w:pStyle w:val="T4"/>
        <w:spacing w:after="120"/>
        <w:rPr>
          <w:rFonts w:ascii="Times New Roman" w:hAnsi="Times New Roman"/>
          <w:i/>
          <w:szCs w:val="22"/>
        </w:rPr>
      </w:pPr>
    </w:p>
    <w:p w:rsidR="00414607" w:rsidRPr="0056109F" w:rsidRDefault="00414607" w:rsidP="009F7E08">
      <w:pPr>
        <w:pStyle w:val="T4"/>
        <w:numPr>
          <w:ilvl w:val="0"/>
          <w:numId w:val="20"/>
        </w:numPr>
        <w:spacing w:after="120"/>
        <w:ind w:left="720"/>
        <w:rPr>
          <w:rFonts w:ascii="Times New Roman" w:hAnsi="Times New Roman"/>
          <w:szCs w:val="22"/>
        </w:rPr>
      </w:pPr>
      <w:r w:rsidRPr="0056109F">
        <w:rPr>
          <w:rFonts w:ascii="Times New Roman" w:hAnsi="Times New Roman"/>
          <w:kern w:val="0"/>
          <w:szCs w:val="22"/>
        </w:rPr>
        <w:t>Agricultural</w:t>
      </w:r>
      <w:r w:rsidRPr="0056109F">
        <w:rPr>
          <w:rFonts w:ascii="Times New Roman" w:hAnsi="Times New Roman"/>
          <w:szCs w:val="22"/>
        </w:rPr>
        <w:t xml:space="preserve"> </w:t>
      </w:r>
      <w:r w:rsidRPr="0056109F">
        <w:rPr>
          <w:rFonts w:ascii="Times New Roman" w:hAnsi="Times New Roman"/>
        </w:rPr>
        <w:t>Grade</w:t>
      </w:r>
      <w:r w:rsidRPr="0056109F">
        <w:rPr>
          <w:rFonts w:ascii="Times New Roman" w:hAnsi="Times New Roman"/>
          <w:szCs w:val="22"/>
        </w:rPr>
        <w:t xml:space="preserve"> Dolomite (calcium magnesium carbonate):</w:t>
      </w:r>
    </w:p>
    <w:tbl>
      <w:tblPr>
        <w:tblStyle w:val="LightShading2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714"/>
      </w:tblGrid>
      <w:tr w:rsidR="00C271E8" w:rsidTr="00FB1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Sieve Size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Percent Passing</w:t>
            </w:r>
          </w:p>
        </w:tc>
      </w:tr>
      <w:tr w:rsidR="00C271E8" w:rsidTr="00C27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67221">
              <w:rPr>
                <w:rFonts w:ascii="Times New Roman" w:hAnsi="Times New Roman"/>
                <w:b w:val="0"/>
                <w:szCs w:val="22"/>
              </w:rPr>
              <w:t>1.18 mm (No. 16)</w:t>
            </w:r>
          </w:p>
        </w:tc>
        <w:tc>
          <w:tcPr>
            <w:tcW w:w="17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100%</w:t>
            </w:r>
          </w:p>
        </w:tc>
      </w:tr>
    </w:tbl>
    <w:p w:rsidR="00C271E8" w:rsidRDefault="00C271E8" w:rsidP="009F7E08">
      <w:pPr>
        <w:pStyle w:val="T4"/>
        <w:spacing w:after="120"/>
        <w:ind w:left="360"/>
        <w:rPr>
          <w:rFonts w:ascii="Times New Roman" w:hAnsi="Times New Roman"/>
          <w:szCs w:val="22"/>
        </w:rPr>
      </w:pPr>
    </w:p>
    <w:p w:rsidR="00414607" w:rsidRPr="0056109F" w:rsidRDefault="00414607" w:rsidP="009F7E08">
      <w:pPr>
        <w:pStyle w:val="T4"/>
        <w:numPr>
          <w:ilvl w:val="0"/>
          <w:numId w:val="20"/>
        </w:numPr>
        <w:spacing w:after="120"/>
        <w:ind w:left="720"/>
        <w:rPr>
          <w:rFonts w:ascii="Times New Roman" w:hAnsi="Times New Roman"/>
          <w:szCs w:val="22"/>
        </w:rPr>
      </w:pPr>
      <w:proofErr w:type="spellStart"/>
      <w:r w:rsidRPr="0056109F">
        <w:rPr>
          <w:rFonts w:ascii="Times New Roman" w:hAnsi="Times New Roman"/>
          <w:kern w:val="0"/>
          <w:szCs w:val="22"/>
        </w:rPr>
        <w:t>Noncalcined</w:t>
      </w:r>
      <w:proofErr w:type="spellEnd"/>
      <w:r w:rsidRPr="0056109F">
        <w:rPr>
          <w:rFonts w:ascii="Times New Roman" w:hAnsi="Times New Roman"/>
          <w:kern w:val="0"/>
          <w:szCs w:val="22"/>
        </w:rPr>
        <w:t xml:space="preserve"> Agricultural</w:t>
      </w:r>
      <w:r w:rsidRPr="0056109F">
        <w:rPr>
          <w:rFonts w:ascii="Times New Roman" w:hAnsi="Times New Roman"/>
          <w:szCs w:val="22"/>
        </w:rPr>
        <w:t xml:space="preserve"> Grade Gypsum (hydrated calcium sulfate):</w:t>
      </w:r>
    </w:p>
    <w:tbl>
      <w:tblPr>
        <w:tblStyle w:val="LightShading2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714"/>
      </w:tblGrid>
      <w:tr w:rsidR="00C271E8" w:rsidTr="00FB1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Sieve Size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Percent Passing</w:t>
            </w:r>
          </w:p>
        </w:tc>
      </w:tr>
      <w:tr w:rsidR="00C271E8" w:rsidTr="00FB1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sing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2.36</w:t>
            </w:r>
            <w:r w:rsidRPr="00467221">
              <w:rPr>
                <w:rFonts w:ascii="Times New Roman" w:hAnsi="Times New Roman"/>
                <w:b w:val="0"/>
                <w:szCs w:val="22"/>
              </w:rPr>
              <w:t xml:space="preserve"> mm (No. </w:t>
            </w:r>
            <w:r>
              <w:rPr>
                <w:rFonts w:ascii="Times New Roman" w:hAnsi="Times New Roman"/>
                <w:b w:val="0"/>
                <w:szCs w:val="22"/>
              </w:rPr>
              <w:t>8</w:t>
            </w:r>
            <w:r w:rsidRPr="00467221">
              <w:rPr>
                <w:rFonts w:ascii="Times New Roman" w:hAnsi="Times New Roman"/>
                <w:b w:val="0"/>
                <w:szCs w:val="22"/>
              </w:rPr>
              <w:t>)</w:t>
            </w:r>
          </w:p>
        </w:tc>
        <w:tc>
          <w:tcPr>
            <w:tcW w:w="1714" w:type="dxa"/>
            <w:tcBorders>
              <w:left w:val="single" w:sz="4" w:space="0" w:color="auto"/>
              <w:right w:val="doub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  <w:r w:rsidRPr="00467221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C271E8" w:rsidTr="00FB1E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67221">
              <w:rPr>
                <w:rFonts w:ascii="Times New Roman" w:hAnsi="Times New Roman"/>
                <w:b w:val="0"/>
                <w:szCs w:val="22"/>
              </w:rPr>
              <w:t>1.18 mm (No. 16)</w:t>
            </w:r>
          </w:p>
        </w:tc>
        <w:tc>
          <w:tcPr>
            <w:tcW w:w="17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71E8" w:rsidRPr="00467221" w:rsidRDefault="00C271E8" w:rsidP="009F7E08">
            <w:pPr>
              <w:pStyle w:val="T4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467221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%</w:t>
            </w:r>
          </w:p>
        </w:tc>
      </w:tr>
    </w:tbl>
    <w:p w:rsidR="00C271E8" w:rsidRPr="00FC6083" w:rsidRDefault="00C271E8" w:rsidP="009F7E08">
      <w:pPr>
        <w:pStyle w:val="T4"/>
        <w:spacing w:after="120"/>
        <w:rPr>
          <w:rFonts w:ascii="Times New Roman" w:hAnsi="Times New Roman"/>
          <w:i/>
          <w:szCs w:val="22"/>
        </w:rPr>
      </w:pPr>
    </w:p>
    <w:p w:rsidR="00414607" w:rsidRPr="000E34C8" w:rsidRDefault="00414607" w:rsidP="009F7E08">
      <w:pPr>
        <w:pStyle w:val="T3"/>
        <w:spacing w:after="120"/>
        <w:ind w:left="360"/>
        <w:rPr>
          <w:rFonts w:ascii="Times New Roman" w:hAnsi="Times New Roman"/>
          <w:szCs w:val="22"/>
        </w:rPr>
      </w:pPr>
      <w:r w:rsidRPr="000E34C8">
        <w:rPr>
          <w:rFonts w:ascii="Times New Roman" w:hAnsi="Times New Roman"/>
          <w:szCs w:val="22"/>
        </w:rPr>
        <w:t xml:space="preserve">The acceptance of the aggregate shall be based on a satisfactory test report for every 1000 tons.  Testing of aggregate shall occur prior to mixing with the soil amendments.  Horticultural grade perlite, </w:t>
      </w:r>
      <w:r>
        <w:rPr>
          <w:rFonts w:ascii="Times New Roman" w:hAnsi="Times New Roman"/>
          <w:szCs w:val="22"/>
        </w:rPr>
        <w:t>a</w:t>
      </w:r>
      <w:r w:rsidRPr="000E34C8">
        <w:rPr>
          <w:rFonts w:ascii="Times New Roman" w:hAnsi="Times New Roman"/>
          <w:szCs w:val="22"/>
        </w:rPr>
        <w:t xml:space="preserve">gricultural </w:t>
      </w:r>
      <w:r>
        <w:rPr>
          <w:rFonts w:ascii="Times New Roman" w:hAnsi="Times New Roman"/>
          <w:szCs w:val="22"/>
        </w:rPr>
        <w:t>g</w:t>
      </w:r>
      <w:r w:rsidRPr="000E34C8">
        <w:rPr>
          <w:rFonts w:ascii="Times New Roman" w:hAnsi="Times New Roman"/>
          <w:szCs w:val="22"/>
        </w:rPr>
        <w:t xml:space="preserve">rade </w:t>
      </w:r>
      <w:r>
        <w:rPr>
          <w:rFonts w:ascii="Times New Roman" w:hAnsi="Times New Roman"/>
          <w:szCs w:val="22"/>
        </w:rPr>
        <w:t>d</w:t>
      </w:r>
      <w:r w:rsidRPr="000E34C8">
        <w:rPr>
          <w:rFonts w:ascii="Times New Roman" w:hAnsi="Times New Roman"/>
          <w:szCs w:val="22"/>
        </w:rPr>
        <w:t>olomite and</w:t>
      </w:r>
      <w:r w:rsidR="00865245">
        <w:rPr>
          <w:rFonts w:ascii="Times New Roman" w:hAnsi="Times New Roman"/>
          <w:szCs w:val="22"/>
        </w:rPr>
        <w:t xml:space="preserve"> </w:t>
      </w:r>
      <w:proofErr w:type="spellStart"/>
      <w:r w:rsidR="00865245">
        <w:rPr>
          <w:rFonts w:ascii="Times New Roman" w:hAnsi="Times New Roman"/>
          <w:szCs w:val="22"/>
        </w:rPr>
        <w:t>noncalcined</w:t>
      </w:r>
      <w:proofErr w:type="spellEnd"/>
      <w:r w:rsidR="00865245">
        <w:rPr>
          <w:rFonts w:ascii="Times New Roman" w:hAnsi="Times New Roman"/>
          <w:szCs w:val="22"/>
        </w:rPr>
        <w:t xml:space="preserve"> agricultural grade</w:t>
      </w:r>
      <w:r w:rsidRPr="000E34C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</w:t>
      </w:r>
      <w:r w:rsidRPr="000E34C8">
        <w:rPr>
          <w:rFonts w:ascii="Times New Roman" w:hAnsi="Times New Roman"/>
          <w:szCs w:val="22"/>
        </w:rPr>
        <w:t xml:space="preserve">ypsum will be accepted by catalog cut or bag label.  </w:t>
      </w:r>
    </w:p>
    <w:p w:rsidR="00414607" w:rsidRPr="000E34C8" w:rsidRDefault="00414607" w:rsidP="009F7E08">
      <w:pPr>
        <w:pStyle w:val="T3"/>
        <w:spacing w:after="120"/>
        <w:ind w:left="360"/>
        <w:rPr>
          <w:rFonts w:ascii="Times New Roman" w:hAnsi="Times New Roman"/>
          <w:szCs w:val="22"/>
        </w:rPr>
      </w:pPr>
      <w:r w:rsidRPr="000E34C8">
        <w:rPr>
          <w:rFonts w:ascii="Times New Roman" w:hAnsi="Times New Roman"/>
          <w:kern w:val="0"/>
          <w:szCs w:val="22"/>
        </w:rPr>
        <w:t>The finished product shall be clean, uniformly mixed, and free from wood, bark, roots, and other deleterious materials.</w:t>
      </w:r>
    </w:p>
    <w:p w:rsidR="001F44A2" w:rsidRPr="001F44A2" w:rsidRDefault="00414607" w:rsidP="009F7E08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/>
          <w:i/>
        </w:rPr>
      </w:pPr>
      <w:r w:rsidRPr="009F7E08">
        <w:rPr>
          <w:rFonts w:ascii="Times New Roman" w:hAnsi="Times New Roman"/>
          <w:i/>
        </w:rPr>
        <w:t>Geotextile</w:t>
      </w:r>
      <w:r w:rsidRPr="009F7E08">
        <w:rPr>
          <w:rFonts w:ascii="Times New Roman" w:hAnsi="Times New Roman"/>
          <w:b/>
        </w:rPr>
        <w:t xml:space="preserve">. </w:t>
      </w:r>
      <w:r w:rsidRPr="009F7E08">
        <w:rPr>
          <w:rFonts w:ascii="Times New Roman" w:hAnsi="Times New Roman"/>
        </w:rPr>
        <w:t>Geotextile material shall be Class 3 conforming to subsection 712.08</w:t>
      </w:r>
    </w:p>
    <w:p w:rsidR="001F44A2" w:rsidRPr="001F44A2" w:rsidRDefault="00414607" w:rsidP="009F7E08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/>
          <w:i/>
        </w:rPr>
      </w:pPr>
      <w:r w:rsidRPr="009F7E08">
        <w:rPr>
          <w:rFonts w:ascii="Times New Roman" w:hAnsi="Times New Roman"/>
          <w:i/>
        </w:rPr>
        <w:t>Perforated Pipe Underdrain</w:t>
      </w:r>
      <w:r w:rsidRPr="009F7E08">
        <w:rPr>
          <w:rFonts w:ascii="Times New Roman" w:hAnsi="Times New Roman"/>
          <w:b/>
        </w:rPr>
        <w:t>.</w:t>
      </w:r>
      <w:r w:rsidRPr="009F7E08">
        <w:rPr>
          <w:rFonts w:ascii="Times New Roman" w:hAnsi="Times New Roman"/>
        </w:rPr>
        <w:t xml:space="preserve">  Pipe shall be 8-inch diameter, perforated pipe underdrain conforming to subsection 712.11.</w:t>
      </w:r>
    </w:p>
    <w:p w:rsidR="001F44A2" w:rsidRPr="001F44A2" w:rsidRDefault="00414607" w:rsidP="009F7E08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/>
          <w:i/>
        </w:rPr>
      </w:pPr>
      <w:r w:rsidRPr="009F7E08">
        <w:rPr>
          <w:rFonts w:ascii="Times New Roman" w:hAnsi="Times New Roman"/>
          <w:i/>
        </w:rPr>
        <w:t>Filter</w:t>
      </w:r>
      <w:r w:rsidRPr="009F7E08">
        <w:rPr>
          <w:rFonts w:ascii="Times New Roman" w:hAnsi="Times New Roman"/>
          <w:b/>
          <w:i/>
        </w:rPr>
        <w:t xml:space="preserve"> </w:t>
      </w:r>
      <w:r w:rsidRPr="009F7E08">
        <w:rPr>
          <w:rFonts w:ascii="Times New Roman" w:hAnsi="Times New Roman"/>
          <w:i/>
        </w:rPr>
        <w:t>Material</w:t>
      </w:r>
      <w:r w:rsidRPr="009F7E08">
        <w:rPr>
          <w:rFonts w:ascii="Times New Roman" w:hAnsi="Times New Roman"/>
          <w:b/>
        </w:rPr>
        <w:t xml:space="preserve">.  </w:t>
      </w:r>
      <w:r w:rsidRPr="009F7E08">
        <w:rPr>
          <w:rFonts w:ascii="Times New Roman" w:hAnsi="Times New Roman"/>
        </w:rPr>
        <w:t>Filter material shall be Class A conforming to subsection 703.09.</w:t>
      </w:r>
    </w:p>
    <w:p w:rsidR="00414607" w:rsidRPr="009F7E08" w:rsidRDefault="00414607" w:rsidP="009F7E08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/>
          <w:i/>
        </w:rPr>
      </w:pPr>
      <w:r w:rsidRPr="009F7E08">
        <w:rPr>
          <w:rFonts w:ascii="Times New Roman" w:hAnsi="Times New Roman"/>
          <w:i/>
        </w:rPr>
        <w:t xml:space="preserve">Delineators.  </w:t>
      </w:r>
      <w:r w:rsidRPr="009F7E08">
        <w:rPr>
          <w:rFonts w:ascii="Times New Roman" w:hAnsi="Times New Roman"/>
        </w:rPr>
        <w:t>Delineators shall be non-reflective, and shall be placed in 100 foot increments along the MFD, parallel to the roadway surface as shown in the Plans.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Subsection 420.03 shall include the following:</w:t>
      </w:r>
    </w:p>
    <w:p w:rsidR="00414607" w:rsidRPr="000E5C98" w:rsidRDefault="00414607" w:rsidP="009F7E08">
      <w:pPr>
        <w:pStyle w:val="T2"/>
        <w:spacing w:after="120"/>
        <w:ind w:left="0"/>
        <w:rPr>
          <w:rFonts w:ascii="Times New Roman" w:hAnsi="Times New Roman"/>
        </w:rPr>
      </w:pPr>
      <w:r w:rsidRPr="000E5C98">
        <w:rPr>
          <w:rFonts w:ascii="Times New Roman" w:hAnsi="Times New Roman"/>
        </w:rPr>
        <w:t xml:space="preserve">The Contractor shall construct the </w:t>
      </w:r>
      <w:r>
        <w:rPr>
          <w:rFonts w:ascii="Times New Roman" w:hAnsi="Times New Roman"/>
        </w:rPr>
        <w:t>MFD</w:t>
      </w:r>
      <w:r w:rsidRPr="000E5C98">
        <w:rPr>
          <w:rFonts w:ascii="Times New Roman" w:hAnsi="Times New Roman"/>
        </w:rPr>
        <w:t xml:space="preserve"> in accordance with the details in the Plans.</w:t>
      </w:r>
    </w:p>
    <w:p w:rsidR="00414607" w:rsidRPr="000E34C8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0E34C8">
        <w:rPr>
          <w:rFonts w:ascii="Times New Roman" w:hAnsi="Times New Roman"/>
        </w:rPr>
        <w:t xml:space="preserve">The Contractor shall install the </w:t>
      </w:r>
      <w:r>
        <w:rPr>
          <w:rFonts w:ascii="Times New Roman" w:hAnsi="Times New Roman"/>
        </w:rPr>
        <w:t>MFD</w:t>
      </w:r>
      <w:r w:rsidRPr="000E34C8">
        <w:rPr>
          <w:rFonts w:ascii="Times New Roman" w:hAnsi="Times New Roman"/>
        </w:rPr>
        <w:t xml:space="preserve"> such that the different sections of the media filter drain are not contaminated by other materials during installation.  MFD mix shall be loosely placed, and shall not be compacted.  </w:t>
      </w:r>
    </w:p>
    <w:p w:rsidR="00414607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MFD </w:t>
      </w:r>
      <w:r w:rsidRPr="000E5C98">
        <w:rPr>
          <w:rFonts w:ascii="Times New Roman" w:hAnsi="Times New Roman"/>
        </w:rPr>
        <w:t xml:space="preserve">shall be installed after completion of construction of the roadway and shall not be used as a temporary BMP during construction.  Construction vehicles shall not be permitted to traverse over the </w:t>
      </w:r>
      <w:r>
        <w:rPr>
          <w:rFonts w:ascii="Times New Roman" w:hAnsi="Times New Roman"/>
        </w:rPr>
        <w:t>MFD.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Subsection 420.09 shall include the following:</w:t>
      </w:r>
    </w:p>
    <w:p w:rsidR="00414607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Media Filter Drain</w:t>
      </w:r>
      <w:r w:rsidRPr="000E34C8">
        <w:rPr>
          <w:rFonts w:ascii="Times New Roman" w:hAnsi="Times New Roman"/>
        </w:rPr>
        <w:t xml:space="preserve"> will be measured as the actual number of </w:t>
      </w:r>
      <w:r>
        <w:rPr>
          <w:rFonts w:ascii="Times New Roman" w:hAnsi="Times New Roman"/>
        </w:rPr>
        <w:t>cubic yards of MFD</w:t>
      </w:r>
      <w:r w:rsidRPr="000E34C8">
        <w:rPr>
          <w:rFonts w:ascii="Times New Roman" w:hAnsi="Times New Roman"/>
        </w:rPr>
        <w:t xml:space="preserve"> installed</w:t>
      </w:r>
      <w:r>
        <w:rPr>
          <w:rFonts w:ascii="Times New Roman" w:hAnsi="Times New Roman"/>
        </w:rPr>
        <w:t xml:space="preserve"> and accepted.</w:t>
      </w:r>
    </w:p>
    <w:p w:rsidR="00CD04E4" w:rsidRDefault="00CD04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D04E4" w:rsidRDefault="00CD04E4" w:rsidP="00CD04E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</w:p>
    <w:p w:rsidR="00CD04E4" w:rsidRDefault="00CD04E4" w:rsidP="00CD04E4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CD04E4" w:rsidRDefault="00CD04E4" w:rsidP="00CD04E4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REVISION OF SECTION 420</w:t>
      </w:r>
    </w:p>
    <w:p w:rsidR="00CD04E4" w:rsidRPr="007213EA" w:rsidRDefault="00CD04E4" w:rsidP="00CD04E4">
      <w:pPr>
        <w:pStyle w:val="Header"/>
        <w:spacing w:after="120"/>
        <w:jc w:val="center"/>
        <w:rPr>
          <w:color w:val="FF0000"/>
        </w:rPr>
      </w:pPr>
      <w:r>
        <w:rPr>
          <w:rFonts w:ascii="Times New Roman" w:hAnsi="Times New Roman"/>
        </w:rPr>
        <w:t xml:space="preserve">MEDIA FILTER </w:t>
      </w:r>
      <w:r w:rsidRPr="00FC6083">
        <w:rPr>
          <w:rFonts w:ascii="Times New Roman" w:hAnsi="Times New Roman"/>
        </w:rPr>
        <w:t>DRAIN (MFD)</w:t>
      </w:r>
      <w:r>
        <w:rPr>
          <w:rFonts w:ascii="Times New Roman" w:hAnsi="Times New Roman"/>
          <w:color w:val="FF0000"/>
        </w:rPr>
        <w:t xml:space="preserve"> </w:t>
      </w:r>
    </w:p>
    <w:p w:rsidR="00414607" w:rsidRPr="000E34C8" w:rsidRDefault="00414607" w:rsidP="009F7E08">
      <w:pPr>
        <w:spacing w:after="1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>Subsection 420.10 shall include the following:</w:t>
      </w:r>
    </w:p>
    <w:p w:rsidR="00414607" w:rsidRPr="000E34C8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</w:rPr>
      </w:pPr>
      <w:r w:rsidRPr="000E34C8">
        <w:rPr>
          <w:rFonts w:ascii="Times New Roman" w:hAnsi="Times New Roman"/>
          <w:b/>
        </w:rPr>
        <w:t>Pay Item</w:t>
      </w:r>
      <w:r w:rsidRPr="000E34C8">
        <w:rPr>
          <w:rFonts w:ascii="Times New Roman" w:hAnsi="Times New Roman"/>
          <w:b/>
        </w:rPr>
        <w:tab/>
      </w:r>
      <w:r w:rsidRPr="000E34C8">
        <w:rPr>
          <w:rFonts w:ascii="Times New Roman" w:hAnsi="Times New Roman"/>
          <w:b/>
        </w:rPr>
        <w:tab/>
      </w:r>
      <w:r w:rsidRPr="000E34C8">
        <w:rPr>
          <w:rFonts w:ascii="Times New Roman" w:hAnsi="Times New Roman"/>
          <w:b/>
        </w:rPr>
        <w:tab/>
        <w:t>Pay Unit</w:t>
      </w:r>
    </w:p>
    <w:p w:rsidR="00414607" w:rsidRPr="000E34C8" w:rsidRDefault="00414607" w:rsidP="009F7E08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/>
        </w:rPr>
      </w:pPr>
      <w:r w:rsidRPr="000E34C8">
        <w:rPr>
          <w:rFonts w:ascii="Times New Roman" w:hAnsi="Times New Roman"/>
        </w:rPr>
        <w:t xml:space="preserve">Media Filter Drain (Type </w:t>
      </w:r>
      <w:r>
        <w:rPr>
          <w:rFonts w:ascii="Times New Roman" w:hAnsi="Times New Roman"/>
        </w:rPr>
        <w:t>__</w:t>
      </w:r>
      <w:r w:rsidRPr="000E34C8">
        <w:rPr>
          <w:rFonts w:ascii="Times New Roman" w:hAnsi="Times New Roman"/>
        </w:rPr>
        <w:t>)</w:t>
      </w:r>
      <w:r w:rsidRPr="000E34C8">
        <w:rPr>
          <w:rFonts w:ascii="Times New Roman" w:hAnsi="Times New Roman"/>
        </w:rPr>
        <w:tab/>
      </w:r>
      <w:r>
        <w:rPr>
          <w:rFonts w:ascii="Times New Roman" w:hAnsi="Times New Roman"/>
        </w:rPr>
        <w:t>Cubic Yards</w:t>
      </w:r>
    </w:p>
    <w:p w:rsidR="00414607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0E34C8">
        <w:rPr>
          <w:rFonts w:ascii="Times New Roman" w:hAnsi="Times New Roman"/>
        </w:rPr>
        <w:t xml:space="preserve">Excavation, embankment, </w:t>
      </w:r>
      <w:r>
        <w:rPr>
          <w:rFonts w:ascii="Times New Roman" w:hAnsi="Times New Roman"/>
        </w:rPr>
        <w:t>MFD mix, perforated</w:t>
      </w:r>
      <w:r w:rsidRPr="000E34C8">
        <w:rPr>
          <w:rFonts w:ascii="Times New Roman" w:hAnsi="Times New Roman"/>
        </w:rPr>
        <w:t xml:space="preserve"> pipe</w:t>
      </w:r>
      <w:r>
        <w:rPr>
          <w:rFonts w:ascii="Times New Roman" w:hAnsi="Times New Roman"/>
        </w:rPr>
        <w:t xml:space="preserve"> underdrain</w:t>
      </w:r>
      <w:r w:rsidRPr="000E34C8">
        <w:rPr>
          <w:rFonts w:ascii="Times New Roman" w:hAnsi="Times New Roman"/>
        </w:rPr>
        <w:t>, geotextile, and filter material will not be measured and paid for separately, but shall be included in the work.</w:t>
      </w:r>
    </w:p>
    <w:p w:rsidR="00414607" w:rsidRPr="000E34C8" w:rsidRDefault="00414607" w:rsidP="009F7E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Delineators will not be measured and paid for separately, but shall be included in the work.</w:t>
      </w:r>
    </w:p>
    <w:p w:rsidR="00414607" w:rsidRPr="000E34C8" w:rsidRDefault="00414607" w:rsidP="009B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414607" w:rsidRPr="000E34C8" w:rsidSect="009B0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9C" w:rsidRDefault="002C1F9C" w:rsidP="00DA7755">
      <w:pPr>
        <w:spacing w:after="0" w:line="240" w:lineRule="auto"/>
      </w:pPr>
      <w:r>
        <w:separator/>
      </w:r>
    </w:p>
  </w:endnote>
  <w:endnote w:type="continuationSeparator" w:id="0">
    <w:p w:rsidR="002C1F9C" w:rsidRDefault="002C1F9C" w:rsidP="00DA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5" w:rsidRDefault="00D86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5" w:rsidRDefault="00D86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5" w:rsidRDefault="00D8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9C" w:rsidRDefault="002C1F9C" w:rsidP="00DA7755">
      <w:pPr>
        <w:spacing w:after="0" w:line="240" w:lineRule="auto"/>
      </w:pPr>
      <w:r>
        <w:separator/>
      </w:r>
    </w:p>
  </w:footnote>
  <w:footnote w:type="continuationSeparator" w:id="0">
    <w:p w:rsidR="002C1F9C" w:rsidRDefault="002C1F9C" w:rsidP="00DA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5" w:rsidRDefault="00D86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07" w:rsidRDefault="00414607" w:rsidP="00C069C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Sample Project Special Provision: 420mfd</w:t>
    </w:r>
  </w:p>
  <w:p w:rsidR="00414607" w:rsidRDefault="00414607" w:rsidP="006734A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Feb-03-11</w:t>
    </w:r>
    <w:r w:rsidR="00646D9B">
      <w:rPr>
        <w:rFonts w:ascii="Times New Roman" w:hAnsi="Times New Roman"/>
      </w:rPr>
      <w:t xml:space="preserve"> (</w:t>
    </w:r>
    <w:r w:rsidR="00D86AB5" w:rsidRPr="00D86AB5">
      <w:rPr>
        <w:rFonts w:ascii="Times New Roman" w:hAnsi="Times New Roman"/>
      </w:rPr>
      <w:t xml:space="preserve">Re-issued </w:t>
    </w:r>
    <w:r w:rsidR="00D86AB5" w:rsidRPr="00D86AB5">
      <w:rPr>
        <w:rFonts w:ascii="Times New Roman" w:hAnsi="Times New Roman"/>
      </w:rPr>
      <w:t>07-03-17</w:t>
    </w:r>
    <w:bookmarkStart w:id="0" w:name="_GoBack"/>
    <w:bookmarkEnd w:id="0"/>
    <w:r w:rsidR="00646D9B">
      <w:rPr>
        <w:rFonts w:ascii="Times New Roman" w:hAnsi="Times New Roman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5" w:rsidRDefault="00D86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942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5282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2E8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DC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3E35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9E52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7CE7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4A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01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E511D"/>
    <w:multiLevelType w:val="hybridMultilevel"/>
    <w:tmpl w:val="1C4AA13C"/>
    <w:lvl w:ilvl="0" w:tplc="5E184F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746988"/>
    <w:multiLevelType w:val="hybridMultilevel"/>
    <w:tmpl w:val="6A0CDF72"/>
    <w:lvl w:ilvl="0" w:tplc="1CD4412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53B3E40"/>
    <w:multiLevelType w:val="hybridMultilevel"/>
    <w:tmpl w:val="9EB8A964"/>
    <w:lvl w:ilvl="0" w:tplc="A17C9402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52161D"/>
    <w:multiLevelType w:val="hybridMultilevel"/>
    <w:tmpl w:val="BEF2EE6C"/>
    <w:lvl w:ilvl="0" w:tplc="1DD6F1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D069D8"/>
    <w:multiLevelType w:val="hybridMultilevel"/>
    <w:tmpl w:val="BF4AF430"/>
    <w:lvl w:ilvl="0" w:tplc="D550EE4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A678B5"/>
    <w:multiLevelType w:val="hybridMultilevel"/>
    <w:tmpl w:val="5DD29AB4"/>
    <w:lvl w:ilvl="0" w:tplc="1CD4412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3461ACF"/>
    <w:multiLevelType w:val="hybridMultilevel"/>
    <w:tmpl w:val="0A6E7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A65E59"/>
    <w:multiLevelType w:val="hybridMultilevel"/>
    <w:tmpl w:val="30825634"/>
    <w:lvl w:ilvl="0" w:tplc="FDC4F7A6">
      <w:start w:val="2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233522"/>
    <w:multiLevelType w:val="hybridMultilevel"/>
    <w:tmpl w:val="154AFC1A"/>
    <w:lvl w:ilvl="0" w:tplc="9A9018B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D3721"/>
    <w:multiLevelType w:val="hybridMultilevel"/>
    <w:tmpl w:val="3AD8EDD2"/>
    <w:lvl w:ilvl="0" w:tplc="1CD4412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3977FFB"/>
    <w:multiLevelType w:val="hybridMultilevel"/>
    <w:tmpl w:val="0AAA9CDA"/>
    <w:lvl w:ilvl="0" w:tplc="11206DB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15BBE"/>
    <w:multiLevelType w:val="hybridMultilevel"/>
    <w:tmpl w:val="8250A86E"/>
    <w:lvl w:ilvl="0" w:tplc="832A459A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9F"/>
    <w:multiLevelType w:val="hybridMultilevel"/>
    <w:tmpl w:val="BEF2EE6C"/>
    <w:lvl w:ilvl="0" w:tplc="1DD6F1DE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6530237E"/>
    <w:multiLevelType w:val="hybridMultilevel"/>
    <w:tmpl w:val="8702F362"/>
    <w:lvl w:ilvl="0" w:tplc="8FC2819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4" w15:restartNumberingAfterBreak="0">
    <w:nsid w:val="705D72CF"/>
    <w:multiLevelType w:val="hybridMultilevel"/>
    <w:tmpl w:val="E0ACCAFA"/>
    <w:lvl w:ilvl="0" w:tplc="8FC2819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5C2610C"/>
    <w:multiLevelType w:val="hybridMultilevel"/>
    <w:tmpl w:val="3CB08A16"/>
    <w:lvl w:ilvl="0" w:tplc="2304A51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9"/>
  </w:num>
  <w:num w:numId="5">
    <w:abstractNumId w:val="24"/>
  </w:num>
  <w:num w:numId="6">
    <w:abstractNumId w:val="23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  <w:num w:numId="20">
    <w:abstractNumId w:val="22"/>
  </w:num>
  <w:num w:numId="21">
    <w:abstractNumId w:val="13"/>
  </w:num>
  <w:num w:numId="22">
    <w:abstractNumId w:val="14"/>
  </w:num>
  <w:num w:numId="23">
    <w:abstractNumId w:val="25"/>
  </w:num>
  <w:num w:numId="24">
    <w:abstractNumId w:val="20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3"/>
    <w:rsid w:val="000036D7"/>
    <w:rsid w:val="00034BDF"/>
    <w:rsid w:val="00035422"/>
    <w:rsid w:val="000613FE"/>
    <w:rsid w:val="000939DD"/>
    <w:rsid w:val="000A1D66"/>
    <w:rsid w:val="000C5DED"/>
    <w:rsid w:val="000D7895"/>
    <w:rsid w:val="000E34C8"/>
    <w:rsid w:val="000E5C98"/>
    <w:rsid w:val="001321E4"/>
    <w:rsid w:val="0014663C"/>
    <w:rsid w:val="00160166"/>
    <w:rsid w:val="001630D9"/>
    <w:rsid w:val="00192A90"/>
    <w:rsid w:val="00192ED7"/>
    <w:rsid w:val="001B1AA6"/>
    <w:rsid w:val="001C3D1B"/>
    <w:rsid w:val="001C7AC1"/>
    <w:rsid w:val="001F44A2"/>
    <w:rsid w:val="00213043"/>
    <w:rsid w:val="002227B3"/>
    <w:rsid w:val="00226B9B"/>
    <w:rsid w:val="00251522"/>
    <w:rsid w:val="00253222"/>
    <w:rsid w:val="00271B9D"/>
    <w:rsid w:val="002B38DF"/>
    <w:rsid w:val="002B7CBE"/>
    <w:rsid w:val="002C1F9C"/>
    <w:rsid w:val="002C30F2"/>
    <w:rsid w:val="00303E0F"/>
    <w:rsid w:val="003644DE"/>
    <w:rsid w:val="00372EE7"/>
    <w:rsid w:val="003757EE"/>
    <w:rsid w:val="003C75DC"/>
    <w:rsid w:val="0040725A"/>
    <w:rsid w:val="00414607"/>
    <w:rsid w:val="00415D24"/>
    <w:rsid w:val="00417014"/>
    <w:rsid w:val="00445560"/>
    <w:rsid w:val="00467221"/>
    <w:rsid w:val="00467EDA"/>
    <w:rsid w:val="00473467"/>
    <w:rsid w:val="004805AE"/>
    <w:rsid w:val="004B09F8"/>
    <w:rsid w:val="004C59F5"/>
    <w:rsid w:val="004D0EA2"/>
    <w:rsid w:val="00512EB9"/>
    <w:rsid w:val="00520ADA"/>
    <w:rsid w:val="005445FC"/>
    <w:rsid w:val="005470AA"/>
    <w:rsid w:val="0055313E"/>
    <w:rsid w:val="0056109F"/>
    <w:rsid w:val="0057242E"/>
    <w:rsid w:val="00590255"/>
    <w:rsid w:val="00592899"/>
    <w:rsid w:val="00596CFE"/>
    <w:rsid w:val="005C625F"/>
    <w:rsid w:val="005E0410"/>
    <w:rsid w:val="005E55ED"/>
    <w:rsid w:val="005E616B"/>
    <w:rsid w:val="00613F72"/>
    <w:rsid w:val="00613F84"/>
    <w:rsid w:val="00641158"/>
    <w:rsid w:val="00646D9B"/>
    <w:rsid w:val="00653E79"/>
    <w:rsid w:val="00661D5C"/>
    <w:rsid w:val="006734AD"/>
    <w:rsid w:val="006B184D"/>
    <w:rsid w:val="006C0F60"/>
    <w:rsid w:val="007079B0"/>
    <w:rsid w:val="007213EA"/>
    <w:rsid w:val="0075584E"/>
    <w:rsid w:val="00781E0B"/>
    <w:rsid w:val="0078365E"/>
    <w:rsid w:val="007B007C"/>
    <w:rsid w:val="007B39F9"/>
    <w:rsid w:val="007C59A3"/>
    <w:rsid w:val="007E5590"/>
    <w:rsid w:val="008174F9"/>
    <w:rsid w:val="00826B9F"/>
    <w:rsid w:val="008536BF"/>
    <w:rsid w:val="00860EA4"/>
    <w:rsid w:val="0086288A"/>
    <w:rsid w:val="00865245"/>
    <w:rsid w:val="00881A12"/>
    <w:rsid w:val="00890E93"/>
    <w:rsid w:val="008D7461"/>
    <w:rsid w:val="00903F9D"/>
    <w:rsid w:val="009046D8"/>
    <w:rsid w:val="009064CB"/>
    <w:rsid w:val="00913729"/>
    <w:rsid w:val="00923A56"/>
    <w:rsid w:val="0093049A"/>
    <w:rsid w:val="00940345"/>
    <w:rsid w:val="00944110"/>
    <w:rsid w:val="00946015"/>
    <w:rsid w:val="00960908"/>
    <w:rsid w:val="00983943"/>
    <w:rsid w:val="0098546E"/>
    <w:rsid w:val="009A7243"/>
    <w:rsid w:val="009B0670"/>
    <w:rsid w:val="009B684E"/>
    <w:rsid w:val="009C185C"/>
    <w:rsid w:val="009C5CA9"/>
    <w:rsid w:val="009E0718"/>
    <w:rsid w:val="009E46A5"/>
    <w:rsid w:val="009F3086"/>
    <w:rsid w:val="009F3133"/>
    <w:rsid w:val="009F7E08"/>
    <w:rsid w:val="00A14364"/>
    <w:rsid w:val="00A22FD3"/>
    <w:rsid w:val="00AB444B"/>
    <w:rsid w:val="00AB56C5"/>
    <w:rsid w:val="00AB6ED9"/>
    <w:rsid w:val="00AD7692"/>
    <w:rsid w:val="00B076E1"/>
    <w:rsid w:val="00B67A5E"/>
    <w:rsid w:val="00B8694A"/>
    <w:rsid w:val="00B96E70"/>
    <w:rsid w:val="00BF0E6A"/>
    <w:rsid w:val="00C047F2"/>
    <w:rsid w:val="00C069C2"/>
    <w:rsid w:val="00C271E8"/>
    <w:rsid w:val="00C27AF6"/>
    <w:rsid w:val="00C531F2"/>
    <w:rsid w:val="00C8668D"/>
    <w:rsid w:val="00C927B3"/>
    <w:rsid w:val="00C92808"/>
    <w:rsid w:val="00CB4DB1"/>
    <w:rsid w:val="00CC4237"/>
    <w:rsid w:val="00CC5578"/>
    <w:rsid w:val="00CD04E4"/>
    <w:rsid w:val="00D00058"/>
    <w:rsid w:val="00D03F42"/>
    <w:rsid w:val="00D3248C"/>
    <w:rsid w:val="00D327AA"/>
    <w:rsid w:val="00D86AB5"/>
    <w:rsid w:val="00DA7755"/>
    <w:rsid w:val="00DB3CBD"/>
    <w:rsid w:val="00DC1BF9"/>
    <w:rsid w:val="00DE7AB3"/>
    <w:rsid w:val="00E114C0"/>
    <w:rsid w:val="00E17142"/>
    <w:rsid w:val="00E17EAF"/>
    <w:rsid w:val="00E601C9"/>
    <w:rsid w:val="00E6064F"/>
    <w:rsid w:val="00E71C0E"/>
    <w:rsid w:val="00E826C5"/>
    <w:rsid w:val="00E838D7"/>
    <w:rsid w:val="00E95EC6"/>
    <w:rsid w:val="00E97AC0"/>
    <w:rsid w:val="00EA0A76"/>
    <w:rsid w:val="00EA573A"/>
    <w:rsid w:val="00EE1034"/>
    <w:rsid w:val="00EE33D4"/>
    <w:rsid w:val="00EE4314"/>
    <w:rsid w:val="00EF6ED3"/>
    <w:rsid w:val="00EF7691"/>
    <w:rsid w:val="00F23758"/>
    <w:rsid w:val="00F3508B"/>
    <w:rsid w:val="00F54251"/>
    <w:rsid w:val="00F80EAA"/>
    <w:rsid w:val="00FB7221"/>
    <w:rsid w:val="00FC6083"/>
    <w:rsid w:val="00FD26C8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080297-316F-4E37-9036-228053B4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0670"/>
    <w:pPr>
      <w:ind w:left="720"/>
      <w:contextualSpacing/>
    </w:pPr>
  </w:style>
  <w:style w:type="paragraph" w:customStyle="1" w:styleId="Default">
    <w:name w:val="Default"/>
    <w:uiPriority w:val="99"/>
    <w:rsid w:val="009B0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B06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0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067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067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6E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3">
    <w:name w:val="T3"/>
    <w:basedOn w:val="Normal"/>
    <w:link w:val="T3Char"/>
    <w:uiPriority w:val="99"/>
    <w:rsid w:val="00596CFE"/>
    <w:pPr>
      <w:overflowPunct w:val="0"/>
      <w:autoSpaceDE w:val="0"/>
      <w:autoSpaceDN w:val="0"/>
      <w:adjustRightInd w:val="0"/>
      <w:spacing w:after="0" w:line="240" w:lineRule="auto"/>
      <w:ind w:left="893"/>
      <w:jc w:val="both"/>
      <w:textAlignment w:val="baseline"/>
    </w:pPr>
    <w:rPr>
      <w:rFonts w:ascii="Helvetica" w:eastAsia="Times New Roman" w:hAnsi="Helvetica"/>
      <w:kern w:val="22"/>
      <w:szCs w:val="20"/>
    </w:rPr>
  </w:style>
  <w:style w:type="paragraph" w:customStyle="1" w:styleId="T4">
    <w:name w:val="T4"/>
    <w:basedOn w:val="Normal"/>
    <w:uiPriority w:val="99"/>
    <w:rsid w:val="00596CFE"/>
    <w:pPr>
      <w:overflowPunct w:val="0"/>
      <w:autoSpaceDE w:val="0"/>
      <w:autoSpaceDN w:val="0"/>
      <w:adjustRightInd w:val="0"/>
      <w:spacing w:after="0" w:line="240" w:lineRule="auto"/>
      <w:ind w:left="1339"/>
      <w:jc w:val="both"/>
      <w:textAlignment w:val="baseline"/>
    </w:pPr>
    <w:rPr>
      <w:rFonts w:ascii="Helvetica" w:eastAsia="Times New Roman" w:hAnsi="Helvetica"/>
      <w:kern w:val="22"/>
      <w:szCs w:val="20"/>
    </w:rPr>
  </w:style>
  <w:style w:type="character" w:customStyle="1" w:styleId="T3Char">
    <w:name w:val="T3 Char"/>
    <w:basedOn w:val="DefaultParagraphFont"/>
    <w:link w:val="T3"/>
    <w:uiPriority w:val="99"/>
    <w:locked/>
    <w:rsid w:val="00596CFE"/>
    <w:rPr>
      <w:rFonts w:ascii="Helvetica" w:hAnsi="Helvetica" w:cs="Times New Roman"/>
      <w:kern w:val="2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A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7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755"/>
    <w:rPr>
      <w:rFonts w:cs="Times New Roman"/>
    </w:rPr>
  </w:style>
  <w:style w:type="paragraph" w:customStyle="1" w:styleId="H4">
    <w:name w:val="H4"/>
    <w:link w:val="H4Char"/>
    <w:uiPriority w:val="99"/>
    <w:rsid w:val="00946015"/>
    <w:pPr>
      <w:keepNext/>
      <w:keepLines/>
      <w:ind w:left="893"/>
    </w:pPr>
    <w:rPr>
      <w:rFonts w:ascii="Helvetica" w:eastAsia="Times New Roman" w:hAnsi="Helvetica"/>
      <w:b/>
      <w:kern w:val="22"/>
      <w:szCs w:val="20"/>
    </w:rPr>
  </w:style>
  <w:style w:type="paragraph" w:customStyle="1" w:styleId="T2">
    <w:name w:val="T2"/>
    <w:basedOn w:val="Normal"/>
    <w:link w:val="T2Char"/>
    <w:uiPriority w:val="99"/>
    <w:rsid w:val="00946015"/>
    <w:pPr>
      <w:overflowPunct w:val="0"/>
      <w:autoSpaceDE w:val="0"/>
      <w:autoSpaceDN w:val="0"/>
      <w:adjustRightInd w:val="0"/>
      <w:spacing w:after="0" w:line="240" w:lineRule="auto"/>
      <w:ind w:left="446"/>
      <w:jc w:val="both"/>
      <w:textAlignment w:val="baseline"/>
    </w:pPr>
    <w:rPr>
      <w:rFonts w:ascii="Helvetica" w:eastAsia="Times New Roman" w:hAnsi="Helvetica"/>
      <w:kern w:val="22"/>
      <w:szCs w:val="20"/>
    </w:rPr>
  </w:style>
  <w:style w:type="paragraph" w:customStyle="1" w:styleId="U5">
    <w:name w:val="U5"/>
    <w:uiPriority w:val="99"/>
    <w:rsid w:val="00946015"/>
    <w:pPr>
      <w:ind w:left="1771"/>
    </w:pPr>
    <w:rPr>
      <w:rFonts w:ascii="Helvetica" w:eastAsia="Times New Roman" w:hAnsi="Helvetica"/>
      <w:kern w:val="22"/>
      <w:szCs w:val="20"/>
    </w:rPr>
  </w:style>
  <w:style w:type="character" w:customStyle="1" w:styleId="T2Char">
    <w:name w:val="T2 Char"/>
    <w:basedOn w:val="DefaultParagraphFont"/>
    <w:link w:val="T2"/>
    <w:uiPriority w:val="99"/>
    <w:locked/>
    <w:rsid w:val="00946015"/>
    <w:rPr>
      <w:rFonts w:ascii="Helvetica" w:hAnsi="Helvetica" w:cs="Times New Roman"/>
      <w:kern w:val="22"/>
      <w:sz w:val="22"/>
      <w:lang w:val="en-US" w:eastAsia="en-US" w:bidi="ar-SA"/>
    </w:rPr>
  </w:style>
  <w:style w:type="character" w:customStyle="1" w:styleId="H4Char">
    <w:name w:val="H4 Char"/>
    <w:basedOn w:val="DefaultParagraphFont"/>
    <w:link w:val="H4"/>
    <w:uiPriority w:val="99"/>
    <w:locked/>
    <w:rsid w:val="00946015"/>
    <w:rPr>
      <w:rFonts w:ascii="Helvetica" w:hAnsi="Helvetica" w:cs="Times New Roman"/>
      <w:b/>
      <w:kern w:val="22"/>
      <w:sz w:val="22"/>
      <w:lang w:val="en-US" w:eastAsia="en-US" w:bidi="ar-SA"/>
    </w:rPr>
  </w:style>
  <w:style w:type="table" w:customStyle="1" w:styleId="LightShading1">
    <w:name w:val="Light Shading1"/>
    <w:uiPriority w:val="99"/>
    <w:rsid w:val="002B7CB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25152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51522"/>
    <w:rPr>
      <w:rFonts w:cs="Times New Roman"/>
    </w:rPr>
  </w:style>
  <w:style w:type="table" w:customStyle="1" w:styleId="LightShading2">
    <w:name w:val="Light Shading2"/>
    <w:basedOn w:val="TableNormal"/>
    <w:uiPriority w:val="60"/>
    <w:rsid w:val="004672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 of the Standard Specifications is hereby revised for this project to include the following:</vt:lpstr>
    </vt:vector>
  </TitlesOfParts>
  <Company>CDOT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 of the Standard Specifications is hereby revised for this project to include the following:</dc:title>
  <dc:creator>Mohan</dc:creator>
  <cp:lastModifiedBy>Avgeris, Louis</cp:lastModifiedBy>
  <cp:revision>4</cp:revision>
  <cp:lastPrinted>2011-01-14T18:09:00Z</cp:lastPrinted>
  <dcterms:created xsi:type="dcterms:W3CDTF">2017-04-07T14:28:00Z</dcterms:created>
  <dcterms:modified xsi:type="dcterms:W3CDTF">2017-06-27T21:55:00Z</dcterms:modified>
</cp:coreProperties>
</file>