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184" w:rsidRDefault="009F5184">
      <w:pPr>
        <w:widowControl w:val="0"/>
        <w:rPr>
          <w:rFonts w:ascii="Times New Roman" w:hAnsi="Times New Roman"/>
          <w:sz w:val="22"/>
        </w:rPr>
      </w:pPr>
      <w:r w:rsidRPr="00D9506A">
        <w:rPr>
          <w:rFonts w:ascii="Times New Roman" w:hAnsi="Times New Roman"/>
          <w:bCs/>
          <w:sz w:val="22"/>
        </w:rPr>
        <w:t xml:space="preserve">Sample project special: </w:t>
      </w:r>
      <w:r>
        <w:rPr>
          <w:rFonts w:ascii="Times New Roman" w:hAnsi="Times New Roman"/>
          <w:sz w:val="22"/>
        </w:rPr>
        <w:t>613lxcel</w:t>
      </w:r>
    </w:p>
    <w:p w:rsidR="009F5184" w:rsidRDefault="009F5184">
      <w:pPr>
        <w:widowControl w:val="0"/>
        <w:rPr>
          <w:rFonts w:ascii="Times New Roman" w:hAnsi="Times New Roman"/>
          <w:sz w:val="22"/>
        </w:rPr>
      </w:pPr>
      <w:r>
        <w:rPr>
          <w:rFonts w:ascii="Times New Roman" w:hAnsi="Times New Roman"/>
          <w:sz w:val="22"/>
        </w:rPr>
        <w:t>02-03-11</w:t>
      </w:r>
      <w:r w:rsidR="006F7BE7">
        <w:rPr>
          <w:rFonts w:ascii="Times New Roman" w:hAnsi="Times New Roman"/>
          <w:sz w:val="22"/>
        </w:rPr>
        <w:t xml:space="preserve"> (</w:t>
      </w:r>
      <w:r w:rsidR="00E92D87" w:rsidRPr="00E92D87">
        <w:rPr>
          <w:rFonts w:ascii="Times New Roman" w:hAnsi="Times New Roman"/>
          <w:sz w:val="22"/>
        </w:rPr>
        <w:t>Re-issued 07-03-17</w:t>
      </w:r>
      <w:r w:rsidR="006F7BE7">
        <w:rPr>
          <w:rFonts w:ascii="Times New Roman" w:hAnsi="Times New Roman"/>
          <w:sz w:val="22"/>
        </w:rPr>
        <w:t>)</w:t>
      </w:r>
    </w:p>
    <w:p w:rsidR="009F5184" w:rsidRDefault="009F5184">
      <w:pPr>
        <w:widowControl w:val="0"/>
        <w:jc w:val="center"/>
        <w:rPr>
          <w:rFonts w:ascii="Times New Roman" w:hAnsi="Times New Roman"/>
          <w:sz w:val="22"/>
        </w:rPr>
      </w:pPr>
      <w:r>
        <w:rPr>
          <w:rFonts w:ascii="Times New Roman" w:hAnsi="Times New Roman"/>
          <w:sz w:val="22"/>
        </w:rPr>
        <w:t>REVISION OF SECTION 613</w:t>
      </w:r>
    </w:p>
    <w:p w:rsidR="009F5184" w:rsidRDefault="009F5184">
      <w:pPr>
        <w:widowControl w:val="0"/>
        <w:jc w:val="center"/>
        <w:rPr>
          <w:rFonts w:ascii="Times New Roman" w:hAnsi="Times New Roman"/>
          <w:sz w:val="22"/>
        </w:rPr>
      </w:pPr>
      <w:r>
        <w:rPr>
          <w:rFonts w:ascii="Times New Roman" w:hAnsi="Times New Roman"/>
          <w:sz w:val="22"/>
        </w:rPr>
        <w:t>LIGHTING (XCEL)</w:t>
      </w:r>
    </w:p>
    <w:p w:rsidR="009F5184" w:rsidRDefault="009F5184">
      <w:pPr>
        <w:widowControl w:val="0"/>
        <w:rPr>
          <w:rFonts w:ascii="Times New Roman" w:hAnsi="Times New Roman"/>
          <w:sz w:val="22"/>
        </w:rPr>
      </w:pPr>
    </w:p>
    <w:p w:rsidR="009F5184" w:rsidRDefault="009F5184">
      <w:pPr>
        <w:widowControl w:val="0"/>
        <w:rPr>
          <w:rFonts w:ascii="Times New Roman" w:hAnsi="Times New Roman"/>
          <w:sz w:val="22"/>
        </w:rPr>
      </w:pPr>
      <w:r>
        <w:rPr>
          <w:rFonts w:ascii="Times New Roman" w:hAnsi="Times New Roman"/>
          <w:sz w:val="22"/>
        </w:rPr>
        <w:t>Section 613 of the Standard Specifications is hereby revised for this project as follows:</w:t>
      </w:r>
    </w:p>
    <w:p w:rsidR="009F5184" w:rsidRDefault="009F5184">
      <w:pPr>
        <w:widowControl w:val="0"/>
        <w:rPr>
          <w:rFonts w:ascii="Times New Roman" w:hAnsi="Times New Roman"/>
          <w:sz w:val="22"/>
        </w:rPr>
      </w:pPr>
    </w:p>
    <w:p w:rsidR="009F5184" w:rsidRDefault="009F5184">
      <w:pPr>
        <w:widowControl w:val="0"/>
        <w:rPr>
          <w:rFonts w:ascii="Times New Roman" w:hAnsi="Times New Roman"/>
          <w:sz w:val="22"/>
        </w:rPr>
      </w:pPr>
      <w:r>
        <w:rPr>
          <w:rFonts w:ascii="Times New Roman" w:hAnsi="Times New Roman"/>
          <w:sz w:val="22"/>
        </w:rPr>
        <w:t>Subsection 613.02 shall include the follo</w:t>
      </w:r>
      <w:bookmarkStart w:id="0" w:name="_GoBack"/>
      <w:bookmarkEnd w:id="0"/>
      <w:r>
        <w:rPr>
          <w:rFonts w:ascii="Times New Roman" w:hAnsi="Times New Roman"/>
          <w:sz w:val="22"/>
        </w:rPr>
        <w:t>wing:</w:t>
      </w:r>
    </w:p>
    <w:p w:rsidR="009F5184" w:rsidRDefault="009F5184">
      <w:pPr>
        <w:widowControl w:val="0"/>
        <w:rPr>
          <w:rFonts w:ascii="Times New Roman" w:hAnsi="Times New Roman"/>
          <w:sz w:val="22"/>
        </w:rPr>
      </w:pPr>
    </w:p>
    <w:p w:rsidR="009F5184" w:rsidRDefault="009F5184">
      <w:pPr>
        <w:widowControl w:val="0"/>
        <w:rPr>
          <w:rFonts w:ascii="Times New Roman" w:hAnsi="Times New Roman"/>
          <w:sz w:val="22"/>
        </w:rPr>
      </w:pPr>
      <w:r>
        <w:rPr>
          <w:rFonts w:ascii="Times New Roman" w:hAnsi="Times New Roman"/>
          <w:sz w:val="22"/>
        </w:rPr>
        <w:t>Highway lighting materials and equipment for installation and modifications shall be compatible or interchangeable with standard materials and equipment as stocked by Public Service Co. of Colorado (PSCO).</w:t>
      </w:r>
    </w:p>
    <w:p w:rsidR="009F5184" w:rsidRDefault="009F5184">
      <w:pPr>
        <w:widowControl w:val="0"/>
        <w:rPr>
          <w:rFonts w:ascii="Times New Roman" w:hAnsi="Times New Roman"/>
          <w:sz w:val="22"/>
        </w:rPr>
      </w:pPr>
    </w:p>
    <w:p w:rsidR="009F5184" w:rsidRDefault="009F5184">
      <w:pPr>
        <w:widowControl w:val="0"/>
        <w:rPr>
          <w:rFonts w:ascii="Times New Roman" w:hAnsi="Times New Roman"/>
          <w:sz w:val="22"/>
        </w:rPr>
      </w:pPr>
      <w:r>
        <w:rPr>
          <w:rFonts w:ascii="Times New Roman" w:hAnsi="Times New Roman"/>
          <w:sz w:val="22"/>
        </w:rPr>
        <w:t>Lighting materials and equipment that are compatible with that stocked by P.S. CO. are as follows:</w:t>
      </w:r>
    </w:p>
    <w:p w:rsidR="009F5184" w:rsidRDefault="009F5184">
      <w:pPr>
        <w:widowControl w:val="0"/>
        <w:rPr>
          <w:rFonts w:ascii="Times New Roman" w:hAnsi="Times New Roman"/>
          <w:sz w:val="22"/>
        </w:rPr>
      </w:pPr>
    </w:p>
    <w:tbl>
      <w:tblPr>
        <w:tblW w:w="0" w:type="auto"/>
        <w:tblInd w:w="81" w:type="dxa"/>
        <w:tblLayout w:type="fixed"/>
        <w:tblCellMar>
          <w:left w:w="81" w:type="dxa"/>
          <w:right w:w="81" w:type="dxa"/>
        </w:tblCellMar>
        <w:tblLook w:val="0000" w:firstRow="0" w:lastRow="0" w:firstColumn="0" w:lastColumn="0" w:noHBand="0" w:noVBand="0"/>
      </w:tblPr>
      <w:tblGrid>
        <w:gridCol w:w="4392"/>
        <w:gridCol w:w="2232"/>
        <w:gridCol w:w="3096"/>
      </w:tblGrid>
      <w:tr w:rsidR="009F5184">
        <w:tc>
          <w:tcPr>
            <w:tcW w:w="4392" w:type="dxa"/>
            <w:tcBorders>
              <w:top w:val="single" w:sz="18" w:space="0" w:color="auto"/>
              <w:left w:val="single" w:sz="18" w:space="0" w:color="auto"/>
              <w:bottom w:val="double" w:sz="6" w:space="0" w:color="auto"/>
            </w:tcBorders>
            <w:vAlign w:val="center"/>
          </w:tcPr>
          <w:p w:rsidR="009F5184" w:rsidRDefault="009F5184">
            <w:pPr>
              <w:widowControl w:val="0"/>
              <w:rPr>
                <w:rFonts w:ascii="Times New Roman" w:hAnsi="Times New Roman"/>
                <w:sz w:val="22"/>
              </w:rPr>
            </w:pPr>
            <w:r>
              <w:rPr>
                <w:rFonts w:ascii="Times New Roman" w:hAnsi="Times New Roman"/>
                <w:b/>
                <w:sz w:val="22"/>
              </w:rPr>
              <w:t>ITEM</w:t>
            </w:r>
          </w:p>
        </w:tc>
        <w:tc>
          <w:tcPr>
            <w:tcW w:w="2232" w:type="dxa"/>
            <w:tcBorders>
              <w:top w:val="single" w:sz="18" w:space="0" w:color="auto"/>
              <w:left w:val="single" w:sz="6" w:space="0" w:color="auto"/>
              <w:bottom w:val="double" w:sz="6" w:space="0" w:color="auto"/>
            </w:tcBorders>
            <w:vAlign w:val="center"/>
          </w:tcPr>
          <w:p w:rsidR="009F5184" w:rsidRDefault="009F5184">
            <w:pPr>
              <w:widowControl w:val="0"/>
              <w:rPr>
                <w:rFonts w:ascii="Times New Roman" w:hAnsi="Times New Roman"/>
                <w:sz w:val="22"/>
              </w:rPr>
            </w:pPr>
            <w:r>
              <w:rPr>
                <w:rFonts w:ascii="Times New Roman" w:hAnsi="Times New Roman"/>
                <w:b/>
                <w:sz w:val="22"/>
              </w:rPr>
              <w:t>SUPPLIER</w:t>
            </w:r>
          </w:p>
        </w:tc>
        <w:tc>
          <w:tcPr>
            <w:tcW w:w="3096" w:type="dxa"/>
            <w:tcBorders>
              <w:top w:val="single" w:sz="18" w:space="0" w:color="auto"/>
              <w:left w:val="single" w:sz="6" w:space="0" w:color="auto"/>
              <w:bottom w:val="double" w:sz="6" w:space="0" w:color="auto"/>
              <w:right w:val="single" w:sz="18" w:space="0" w:color="auto"/>
            </w:tcBorders>
            <w:vAlign w:val="center"/>
          </w:tcPr>
          <w:p w:rsidR="009F5184" w:rsidRDefault="009F5184">
            <w:pPr>
              <w:widowControl w:val="0"/>
              <w:rPr>
                <w:rFonts w:ascii="Times New Roman" w:hAnsi="Times New Roman"/>
                <w:sz w:val="22"/>
              </w:rPr>
            </w:pPr>
            <w:r>
              <w:rPr>
                <w:rFonts w:ascii="Times New Roman" w:hAnsi="Times New Roman"/>
                <w:b/>
                <w:sz w:val="22"/>
              </w:rPr>
              <w:t>CATALOG NUMBER</w:t>
            </w:r>
          </w:p>
        </w:tc>
      </w:tr>
      <w:tr w:rsidR="009F5184">
        <w:tc>
          <w:tcPr>
            <w:tcW w:w="4392" w:type="dxa"/>
            <w:tcBorders>
              <w:left w:val="single" w:sz="18" w:space="0" w:color="auto"/>
            </w:tcBorders>
            <w:vAlign w:val="center"/>
          </w:tcPr>
          <w:p w:rsidR="009F5184" w:rsidRDefault="009F5184">
            <w:pPr>
              <w:widowControl w:val="0"/>
              <w:rPr>
                <w:rFonts w:ascii="Times New Roman" w:hAnsi="Times New Roman"/>
                <w:sz w:val="22"/>
              </w:rPr>
            </w:pPr>
            <w:r>
              <w:rPr>
                <w:rFonts w:ascii="Times New Roman" w:hAnsi="Times New Roman"/>
                <w:sz w:val="22"/>
              </w:rPr>
              <w:t>Wall and Pendant Type Luminaires</w:t>
            </w:r>
          </w:p>
          <w:p w:rsidR="009F5184" w:rsidRDefault="009F5184">
            <w:pPr>
              <w:widowControl w:val="0"/>
              <w:rPr>
                <w:rFonts w:ascii="Times New Roman" w:hAnsi="Times New Roman"/>
                <w:sz w:val="22"/>
              </w:rPr>
            </w:pPr>
            <w:r>
              <w:rPr>
                <w:rFonts w:ascii="Times New Roman" w:hAnsi="Times New Roman"/>
                <w:sz w:val="22"/>
              </w:rPr>
              <w:t xml:space="preserve">   Luminaire (Wall Type), 150 Watt HPS</w:t>
            </w:r>
          </w:p>
          <w:p w:rsidR="009F5184" w:rsidRDefault="009F5184">
            <w:pPr>
              <w:widowControl w:val="0"/>
              <w:rPr>
                <w:rFonts w:ascii="Times New Roman" w:hAnsi="Times New Roman"/>
                <w:sz w:val="22"/>
              </w:rPr>
            </w:pPr>
            <w:r>
              <w:rPr>
                <w:rFonts w:ascii="Times New Roman" w:hAnsi="Times New Roman"/>
                <w:sz w:val="22"/>
              </w:rPr>
              <w:t xml:space="preserve">   (16,000Lumens)</w:t>
            </w:r>
          </w:p>
        </w:tc>
        <w:tc>
          <w:tcPr>
            <w:tcW w:w="2232" w:type="dxa"/>
            <w:tcBorders>
              <w:left w:val="single" w:sz="6" w:space="0" w:color="auto"/>
            </w:tcBorders>
            <w:vAlign w:val="center"/>
          </w:tcPr>
          <w:p w:rsidR="009F5184" w:rsidRDefault="009F5184">
            <w:pPr>
              <w:widowControl w:val="0"/>
              <w:rPr>
                <w:rFonts w:ascii="Times New Roman" w:hAnsi="Times New Roman"/>
                <w:sz w:val="22"/>
              </w:rPr>
            </w:pPr>
            <w:r>
              <w:rPr>
                <w:rFonts w:ascii="Times New Roman" w:hAnsi="Times New Roman"/>
                <w:sz w:val="22"/>
              </w:rPr>
              <w:t>Holophane</w:t>
            </w:r>
          </w:p>
          <w:p w:rsidR="009F5184" w:rsidRDefault="009F5184">
            <w:pPr>
              <w:widowControl w:val="0"/>
              <w:rPr>
                <w:rFonts w:ascii="Times New Roman" w:hAnsi="Times New Roman"/>
                <w:sz w:val="22"/>
              </w:rPr>
            </w:pPr>
            <w:r>
              <w:rPr>
                <w:rFonts w:ascii="Times New Roman" w:hAnsi="Times New Roman"/>
                <w:sz w:val="22"/>
              </w:rPr>
              <w:t>General Electric</w:t>
            </w:r>
          </w:p>
          <w:p w:rsidR="009F5184" w:rsidRDefault="009F5184">
            <w:pPr>
              <w:widowControl w:val="0"/>
              <w:rPr>
                <w:rFonts w:ascii="Times New Roman" w:hAnsi="Times New Roman"/>
                <w:sz w:val="22"/>
              </w:rPr>
            </w:pPr>
            <w:r>
              <w:rPr>
                <w:rFonts w:ascii="Times New Roman" w:hAnsi="Times New Roman"/>
                <w:sz w:val="22"/>
              </w:rPr>
              <w:t>Crouse-Hinds</w:t>
            </w:r>
          </w:p>
          <w:p w:rsidR="009F5184" w:rsidRDefault="009F5184">
            <w:pPr>
              <w:widowControl w:val="0"/>
              <w:rPr>
                <w:rFonts w:ascii="Times New Roman" w:hAnsi="Times New Roman"/>
                <w:sz w:val="22"/>
              </w:rPr>
            </w:pPr>
            <w:r>
              <w:rPr>
                <w:rFonts w:ascii="Times New Roman" w:hAnsi="Times New Roman"/>
                <w:sz w:val="22"/>
              </w:rPr>
              <w:t>American Electric</w:t>
            </w:r>
          </w:p>
        </w:tc>
        <w:tc>
          <w:tcPr>
            <w:tcW w:w="3096" w:type="dxa"/>
            <w:tcBorders>
              <w:left w:val="single" w:sz="6" w:space="0" w:color="auto"/>
              <w:right w:val="single" w:sz="18" w:space="0" w:color="auto"/>
            </w:tcBorders>
            <w:vAlign w:val="center"/>
          </w:tcPr>
          <w:p w:rsidR="009F5184" w:rsidRDefault="009F5184">
            <w:pPr>
              <w:widowControl w:val="0"/>
              <w:rPr>
                <w:rFonts w:ascii="Times New Roman" w:hAnsi="Times New Roman"/>
                <w:sz w:val="22"/>
              </w:rPr>
            </w:pPr>
            <w:r>
              <w:rPr>
                <w:rFonts w:ascii="Times New Roman" w:hAnsi="Times New Roman"/>
                <w:sz w:val="22"/>
              </w:rPr>
              <w:t>1488-MTB</w:t>
            </w:r>
          </w:p>
          <w:p w:rsidR="009F5184" w:rsidRDefault="009F5184">
            <w:pPr>
              <w:widowControl w:val="0"/>
              <w:rPr>
                <w:rFonts w:ascii="Times New Roman" w:hAnsi="Times New Roman"/>
                <w:sz w:val="22"/>
              </w:rPr>
            </w:pPr>
            <w:r>
              <w:rPr>
                <w:rFonts w:ascii="Times New Roman" w:hAnsi="Times New Roman"/>
                <w:sz w:val="22"/>
              </w:rPr>
              <w:t>W40L15S11H1SN4DBL</w:t>
            </w:r>
          </w:p>
          <w:p w:rsidR="009F5184" w:rsidRDefault="009F5184">
            <w:pPr>
              <w:widowControl w:val="0"/>
              <w:rPr>
                <w:rFonts w:ascii="Times New Roman" w:hAnsi="Times New Roman"/>
                <w:sz w:val="22"/>
              </w:rPr>
            </w:pPr>
            <w:r>
              <w:rPr>
                <w:rFonts w:ascii="Times New Roman" w:hAnsi="Times New Roman"/>
                <w:sz w:val="22"/>
              </w:rPr>
              <w:t>WAL15FPNXXVP</w:t>
            </w:r>
          </w:p>
          <w:p w:rsidR="009F5184" w:rsidRDefault="009F5184">
            <w:pPr>
              <w:widowControl w:val="0"/>
              <w:rPr>
                <w:rFonts w:ascii="Times New Roman" w:hAnsi="Times New Roman"/>
                <w:sz w:val="22"/>
              </w:rPr>
            </w:pPr>
            <w:r>
              <w:rPr>
                <w:rFonts w:ascii="Times New Roman" w:hAnsi="Times New Roman"/>
                <w:sz w:val="22"/>
              </w:rPr>
              <w:t>482-5E161</w:t>
            </w:r>
          </w:p>
        </w:tc>
      </w:tr>
      <w:tr w:rsidR="009F5184">
        <w:tc>
          <w:tcPr>
            <w:tcW w:w="4392" w:type="dxa"/>
            <w:tcBorders>
              <w:top w:val="single" w:sz="6" w:space="0" w:color="auto"/>
              <w:left w:val="single" w:sz="18" w:space="0" w:color="auto"/>
            </w:tcBorders>
            <w:vAlign w:val="center"/>
          </w:tcPr>
          <w:p w:rsidR="009F5184" w:rsidRDefault="009F5184">
            <w:pPr>
              <w:widowControl w:val="0"/>
              <w:rPr>
                <w:rFonts w:ascii="Times New Roman" w:hAnsi="Times New Roman"/>
                <w:sz w:val="22"/>
              </w:rPr>
            </w:pPr>
            <w:r>
              <w:rPr>
                <w:rFonts w:ascii="Times New Roman" w:hAnsi="Times New Roman"/>
                <w:sz w:val="22"/>
              </w:rPr>
              <w:t>For Standard Round Shaft Supports</w:t>
            </w:r>
          </w:p>
          <w:p w:rsidR="009F5184" w:rsidRDefault="009F5184">
            <w:pPr>
              <w:widowControl w:val="0"/>
              <w:rPr>
                <w:rFonts w:ascii="Times New Roman" w:hAnsi="Times New Roman"/>
                <w:sz w:val="22"/>
              </w:rPr>
            </w:pPr>
            <w:r>
              <w:rPr>
                <w:rFonts w:ascii="Times New Roman" w:hAnsi="Times New Roman"/>
                <w:sz w:val="22"/>
              </w:rPr>
              <w:t xml:space="preserve">   Luminaire, 400 Watt HPS (Flat Lens)</w:t>
            </w:r>
          </w:p>
        </w:tc>
        <w:tc>
          <w:tcPr>
            <w:tcW w:w="2232" w:type="dxa"/>
            <w:tcBorders>
              <w:top w:val="single" w:sz="6" w:space="0" w:color="auto"/>
              <w:left w:val="single" w:sz="6" w:space="0" w:color="auto"/>
            </w:tcBorders>
            <w:vAlign w:val="center"/>
          </w:tcPr>
          <w:p w:rsidR="009F5184" w:rsidRDefault="009F5184">
            <w:pPr>
              <w:widowControl w:val="0"/>
              <w:rPr>
                <w:rFonts w:ascii="Times New Roman" w:hAnsi="Times New Roman"/>
                <w:sz w:val="22"/>
              </w:rPr>
            </w:pPr>
            <w:r>
              <w:rPr>
                <w:rFonts w:ascii="Times New Roman" w:hAnsi="Times New Roman"/>
                <w:sz w:val="22"/>
              </w:rPr>
              <w:t>General Electric</w:t>
            </w:r>
          </w:p>
          <w:p w:rsidR="009F5184" w:rsidRDefault="009F5184">
            <w:pPr>
              <w:widowControl w:val="0"/>
              <w:rPr>
                <w:rFonts w:ascii="Times New Roman" w:hAnsi="Times New Roman"/>
                <w:sz w:val="22"/>
              </w:rPr>
            </w:pPr>
            <w:r>
              <w:rPr>
                <w:rFonts w:ascii="Times New Roman" w:hAnsi="Times New Roman"/>
                <w:sz w:val="22"/>
              </w:rPr>
              <w:t>American Electric</w:t>
            </w:r>
          </w:p>
          <w:p w:rsidR="009F5184" w:rsidRDefault="009F5184">
            <w:pPr>
              <w:widowControl w:val="0"/>
              <w:rPr>
                <w:rFonts w:ascii="Times New Roman" w:hAnsi="Times New Roman"/>
                <w:sz w:val="22"/>
              </w:rPr>
            </w:pPr>
            <w:r>
              <w:rPr>
                <w:rFonts w:ascii="Times New Roman" w:hAnsi="Times New Roman"/>
                <w:sz w:val="22"/>
              </w:rPr>
              <w:t>Crouse-Hinds</w:t>
            </w:r>
          </w:p>
        </w:tc>
        <w:tc>
          <w:tcPr>
            <w:tcW w:w="3096" w:type="dxa"/>
            <w:tcBorders>
              <w:top w:val="single" w:sz="6" w:space="0" w:color="auto"/>
              <w:left w:val="single" w:sz="6" w:space="0" w:color="auto"/>
              <w:right w:val="single" w:sz="18" w:space="0" w:color="auto"/>
            </w:tcBorders>
            <w:vAlign w:val="center"/>
          </w:tcPr>
          <w:p w:rsidR="009F5184" w:rsidRDefault="009F5184">
            <w:pPr>
              <w:widowControl w:val="0"/>
              <w:rPr>
                <w:rFonts w:ascii="Times New Roman" w:hAnsi="Times New Roman"/>
                <w:sz w:val="22"/>
              </w:rPr>
            </w:pPr>
            <w:r>
              <w:rPr>
                <w:rFonts w:ascii="Times New Roman" w:hAnsi="Times New Roman"/>
                <w:sz w:val="22"/>
              </w:rPr>
              <w:t>M4RC40S1M2GMC3</w:t>
            </w:r>
          </w:p>
          <w:p w:rsidR="009F5184" w:rsidRDefault="009F5184">
            <w:pPr>
              <w:widowControl w:val="0"/>
              <w:rPr>
                <w:rFonts w:ascii="Times New Roman" w:hAnsi="Times New Roman"/>
                <w:sz w:val="22"/>
              </w:rPr>
            </w:pPr>
            <w:r>
              <w:rPr>
                <w:rFonts w:ascii="Times New Roman" w:hAnsi="Times New Roman"/>
                <w:sz w:val="22"/>
              </w:rPr>
              <w:t>125-7642-DJ</w:t>
            </w:r>
          </w:p>
          <w:p w:rsidR="009F5184" w:rsidRDefault="009F5184">
            <w:pPr>
              <w:widowControl w:val="0"/>
              <w:rPr>
                <w:rFonts w:ascii="Times New Roman" w:hAnsi="Times New Roman"/>
                <w:sz w:val="22"/>
              </w:rPr>
            </w:pPr>
            <w:r>
              <w:rPr>
                <w:rFonts w:ascii="Times New Roman" w:hAnsi="Times New Roman"/>
                <w:sz w:val="22"/>
              </w:rPr>
              <w:t>OVM40SM22DF4</w:t>
            </w:r>
          </w:p>
        </w:tc>
      </w:tr>
      <w:tr w:rsidR="009F5184">
        <w:tc>
          <w:tcPr>
            <w:tcW w:w="4392" w:type="dxa"/>
            <w:tcBorders>
              <w:top w:val="single" w:sz="6" w:space="0" w:color="auto"/>
              <w:left w:val="single" w:sz="18" w:space="0" w:color="auto"/>
            </w:tcBorders>
            <w:vAlign w:val="center"/>
          </w:tcPr>
          <w:p w:rsidR="009F5184" w:rsidRDefault="009F5184">
            <w:pPr>
              <w:widowControl w:val="0"/>
              <w:rPr>
                <w:rFonts w:ascii="Times New Roman" w:hAnsi="Times New Roman"/>
                <w:sz w:val="22"/>
              </w:rPr>
            </w:pPr>
            <w:r>
              <w:rPr>
                <w:rFonts w:ascii="Times New Roman" w:hAnsi="Times New Roman"/>
                <w:sz w:val="22"/>
              </w:rPr>
              <w:t>For Square Shaft Supports</w:t>
            </w:r>
          </w:p>
          <w:p w:rsidR="009F5184" w:rsidRDefault="009F5184">
            <w:pPr>
              <w:widowControl w:val="0"/>
              <w:rPr>
                <w:rFonts w:ascii="Times New Roman" w:hAnsi="Times New Roman"/>
                <w:sz w:val="22"/>
              </w:rPr>
            </w:pPr>
            <w:r>
              <w:rPr>
                <w:rFonts w:ascii="Times New Roman" w:hAnsi="Times New Roman"/>
                <w:sz w:val="22"/>
              </w:rPr>
              <w:t xml:space="preserve">   Luminaire, 400 Watt HPS, Rectilinear</w:t>
            </w:r>
          </w:p>
        </w:tc>
        <w:tc>
          <w:tcPr>
            <w:tcW w:w="2232" w:type="dxa"/>
            <w:tcBorders>
              <w:top w:val="single" w:sz="6" w:space="0" w:color="auto"/>
              <w:left w:val="single" w:sz="6" w:space="0" w:color="auto"/>
            </w:tcBorders>
            <w:vAlign w:val="center"/>
          </w:tcPr>
          <w:p w:rsidR="009F5184" w:rsidRDefault="009F5184">
            <w:pPr>
              <w:widowControl w:val="0"/>
              <w:rPr>
                <w:rFonts w:ascii="Times New Roman" w:hAnsi="Times New Roman"/>
                <w:sz w:val="22"/>
              </w:rPr>
            </w:pPr>
            <w:r>
              <w:rPr>
                <w:rFonts w:ascii="Times New Roman" w:hAnsi="Times New Roman"/>
                <w:sz w:val="22"/>
              </w:rPr>
              <w:t>NuArt</w:t>
            </w:r>
          </w:p>
          <w:p w:rsidR="009F5184" w:rsidRDefault="009F5184">
            <w:pPr>
              <w:widowControl w:val="0"/>
              <w:rPr>
                <w:rFonts w:ascii="Times New Roman" w:hAnsi="Times New Roman"/>
                <w:sz w:val="22"/>
              </w:rPr>
            </w:pPr>
            <w:r>
              <w:rPr>
                <w:rFonts w:ascii="Times New Roman" w:hAnsi="Times New Roman"/>
                <w:sz w:val="22"/>
              </w:rPr>
              <w:t>General Electric</w:t>
            </w:r>
          </w:p>
          <w:p w:rsidR="009F5184" w:rsidRDefault="009F5184">
            <w:pPr>
              <w:widowControl w:val="0"/>
              <w:rPr>
                <w:rFonts w:ascii="Times New Roman" w:hAnsi="Times New Roman"/>
                <w:sz w:val="22"/>
              </w:rPr>
            </w:pPr>
            <w:r>
              <w:rPr>
                <w:rFonts w:ascii="Times New Roman" w:hAnsi="Times New Roman"/>
                <w:sz w:val="22"/>
              </w:rPr>
              <w:t>American Electric</w:t>
            </w:r>
          </w:p>
          <w:p w:rsidR="009F5184" w:rsidRDefault="009F5184">
            <w:pPr>
              <w:widowControl w:val="0"/>
              <w:rPr>
                <w:rFonts w:ascii="Times New Roman" w:hAnsi="Times New Roman"/>
                <w:sz w:val="22"/>
              </w:rPr>
            </w:pPr>
            <w:r>
              <w:rPr>
                <w:rFonts w:ascii="Times New Roman" w:hAnsi="Times New Roman"/>
                <w:sz w:val="22"/>
              </w:rPr>
              <w:t>Crouse-Hinds</w:t>
            </w:r>
          </w:p>
        </w:tc>
        <w:tc>
          <w:tcPr>
            <w:tcW w:w="3096" w:type="dxa"/>
            <w:tcBorders>
              <w:top w:val="single" w:sz="6" w:space="0" w:color="auto"/>
              <w:left w:val="single" w:sz="6" w:space="0" w:color="auto"/>
              <w:right w:val="single" w:sz="18" w:space="0" w:color="auto"/>
            </w:tcBorders>
            <w:vAlign w:val="center"/>
          </w:tcPr>
          <w:p w:rsidR="009F5184" w:rsidRDefault="009F5184">
            <w:pPr>
              <w:widowControl w:val="0"/>
              <w:rPr>
                <w:rFonts w:ascii="Times New Roman" w:hAnsi="Times New Roman"/>
                <w:sz w:val="22"/>
              </w:rPr>
            </w:pPr>
            <w:r>
              <w:rPr>
                <w:rFonts w:ascii="Times New Roman" w:hAnsi="Times New Roman"/>
                <w:sz w:val="22"/>
              </w:rPr>
              <w:t>ARL-1-HPS-400</w:t>
            </w:r>
          </w:p>
          <w:p w:rsidR="009F5184" w:rsidRDefault="009F5184">
            <w:pPr>
              <w:widowControl w:val="0"/>
              <w:rPr>
                <w:rFonts w:ascii="Times New Roman" w:hAnsi="Times New Roman"/>
                <w:sz w:val="22"/>
              </w:rPr>
            </w:pPr>
            <w:r>
              <w:rPr>
                <w:rFonts w:ascii="Times New Roman" w:hAnsi="Times New Roman"/>
                <w:sz w:val="22"/>
              </w:rPr>
              <w:t>DSMF401M2GMC3DBR</w:t>
            </w:r>
          </w:p>
          <w:p w:rsidR="009F5184" w:rsidRDefault="009F5184">
            <w:pPr>
              <w:widowControl w:val="0"/>
              <w:rPr>
                <w:rFonts w:ascii="Times New Roman" w:hAnsi="Times New Roman"/>
                <w:sz w:val="22"/>
              </w:rPr>
            </w:pPr>
            <w:r>
              <w:rPr>
                <w:rFonts w:ascii="Times New Roman" w:hAnsi="Times New Roman"/>
                <w:sz w:val="22"/>
              </w:rPr>
              <w:t>169-6242-1J3EB</w:t>
            </w:r>
          </w:p>
          <w:p w:rsidR="009F5184" w:rsidRDefault="009F5184">
            <w:pPr>
              <w:widowControl w:val="0"/>
              <w:rPr>
                <w:rFonts w:ascii="Times New Roman" w:hAnsi="Times New Roman"/>
                <w:sz w:val="22"/>
              </w:rPr>
            </w:pPr>
            <w:r>
              <w:rPr>
                <w:rFonts w:ascii="Times New Roman" w:hAnsi="Times New Roman"/>
                <w:sz w:val="22"/>
              </w:rPr>
              <w:t>RAL-400LEC-II-PC-AF-120</w:t>
            </w:r>
          </w:p>
        </w:tc>
      </w:tr>
      <w:tr w:rsidR="009F5184">
        <w:tc>
          <w:tcPr>
            <w:tcW w:w="4392" w:type="dxa"/>
            <w:tcBorders>
              <w:top w:val="single" w:sz="6" w:space="0" w:color="auto"/>
              <w:left w:val="single" w:sz="18" w:space="0" w:color="auto"/>
            </w:tcBorders>
            <w:vAlign w:val="center"/>
          </w:tcPr>
          <w:p w:rsidR="009F5184" w:rsidRDefault="009F5184">
            <w:pPr>
              <w:widowControl w:val="0"/>
              <w:rPr>
                <w:rFonts w:ascii="Times New Roman" w:hAnsi="Times New Roman"/>
                <w:sz w:val="22"/>
              </w:rPr>
            </w:pPr>
            <w:r>
              <w:rPr>
                <w:rFonts w:ascii="Times New Roman" w:hAnsi="Times New Roman"/>
                <w:sz w:val="22"/>
              </w:rPr>
              <w:t>For Standard Square and Round Shaft Supports</w:t>
            </w:r>
          </w:p>
          <w:p w:rsidR="009F5184" w:rsidRDefault="009F5184">
            <w:pPr>
              <w:widowControl w:val="0"/>
              <w:rPr>
                <w:rFonts w:ascii="Times New Roman" w:hAnsi="Times New Roman"/>
                <w:sz w:val="22"/>
              </w:rPr>
            </w:pPr>
            <w:r>
              <w:rPr>
                <w:rFonts w:ascii="Times New Roman" w:hAnsi="Times New Roman"/>
                <w:sz w:val="22"/>
              </w:rPr>
              <w:t xml:space="preserve">   Coupling, Breakaway</w:t>
            </w:r>
          </w:p>
        </w:tc>
        <w:tc>
          <w:tcPr>
            <w:tcW w:w="2232" w:type="dxa"/>
            <w:tcBorders>
              <w:top w:val="single" w:sz="6" w:space="0" w:color="auto"/>
              <w:left w:val="single" w:sz="6" w:space="0" w:color="auto"/>
            </w:tcBorders>
            <w:vAlign w:val="center"/>
          </w:tcPr>
          <w:p w:rsidR="009F5184" w:rsidRDefault="009F5184">
            <w:pPr>
              <w:widowControl w:val="0"/>
              <w:rPr>
                <w:rFonts w:ascii="Times New Roman" w:hAnsi="Times New Roman"/>
                <w:sz w:val="22"/>
              </w:rPr>
            </w:pPr>
            <w:r>
              <w:rPr>
                <w:rFonts w:ascii="Times New Roman" w:hAnsi="Times New Roman"/>
                <w:sz w:val="22"/>
              </w:rPr>
              <w:t>Transpo Safety</w:t>
            </w:r>
          </w:p>
        </w:tc>
        <w:tc>
          <w:tcPr>
            <w:tcW w:w="3096" w:type="dxa"/>
            <w:tcBorders>
              <w:top w:val="single" w:sz="6" w:space="0" w:color="auto"/>
              <w:left w:val="single" w:sz="6" w:space="0" w:color="auto"/>
              <w:right w:val="single" w:sz="18" w:space="0" w:color="auto"/>
            </w:tcBorders>
            <w:vAlign w:val="center"/>
          </w:tcPr>
          <w:p w:rsidR="009F5184" w:rsidRDefault="009F5184">
            <w:pPr>
              <w:widowControl w:val="0"/>
              <w:rPr>
                <w:rFonts w:ascii="Times New Roman" w:hAnsi="Times New Roman"/>
                <w:sz w:val="22"/>
              </w:rPr>
            </w:pPr>
            <w:r>
              <w:rPr>
                <w:rFonts w:ascii="Times New Roman" w:hAnsi="Times New Roman"/>
                <w:sz w:val="22"/>
              </w:rPr>
              <w:t>210H</w:t>
            </w:r>
          </w:p>
        </w:tc>
      </w:tr>
      <w:tr w:rsidR="009F5184">
        <w:tc>
          <w:tcPr>
            <w:tcW w:w="4392" w:type="dxa"/>
            <w:tcBorders>
              <w:top w:val="single" w:sz="6" w:space="0" w:color="auto"/>
              <w:left w:val="single" w:sz="18" w:space="0" w:color="auto"/>
              <w:bottom w:val="single" w:sz="18" w:space="0" w:color="auto"/>
            </w:tcBorders>
            <w:vAlign w:val="center"/>
          </w:tcPr>
          <w:p w:rsidR="009F5184" w:rsidRDefault="009F5184">
            <w:pPr>
              <w:widowControl w:val="0"/>
              <w:rPr>
                <w:rFonts w:ascii="Times New Roman" w:hAnsi="Times New Roman"/>
                <w:sz w:val="22"/>
              </w:rPr>
            </w:pPr>
            <w:r>
              <w:rPr>
                <w:rFonts w:ascii="Times New Roman" w:hAnsi="Times New Roman"/>
                <w:sz w:val="22"/>
              </w:rPr>
              <w:t>For Standard Square and Round Shaft Supports</w:t>
            </w:r>
          </w:p>
          <w:p w:rsidR="009F5184" w:rsidRDefault="009F5184">
            <w:pPr>
              <w:widowControl w:val="0"/>
              <w:rPr>
                <w:rFonts w:ascii="Times New Roman" w:hAnsi="Times New Roman"/>
                <w:sz w:val="22"/>
              </w:rPr>
            </w:pPr>
            <w:r>
              <w:rPr>
                <w:rFonts w:ascii="Times New Roman" w:hAnsi="Times New Roman"/>
                <w:sz w:val="22"/>
              </w:rPr>
              <w:t xml:space="preserve">   Skirt, 15 inch </w:t>
            </w:r>
            <w:smartTag w:uri="urn:schemas-microsoft-com:office:smarttags" w:element="Street">
              <w:smartTag w:uri="urn:schemas-microsoft-com:office:smarttags" w:element="address">
                <w:r>
                  <w:rPr>
                    <w:rFonts w:ascii="Times New Roman" w:hAnsi="Times New Roman"/>
                    <w:sz w:val="22"/>
                  </w:rPr>
                  <w:t>Bolt Circle</w:t>
                </w:r>
              </w:smartTag>
            </w:smartTag>
          </w:p>
        </w:tc>
        <w:tc>
          <w:tcPr>
            <w:tcW w:w="2232" w:type="dxa"/>
            <w:tcBorders>
              <w:top w:val="single" w:sz="6" w:space="0" w:color="auto"/>
              <w:left w:val="single" w:sz="6" w:space="0" w:color="auto"/>
              <w:bottom w:val="single" w:sz="18" w:space="0" w:color="auto"/>
            </w:tcBorders>
            <w:vAlign w:val="center"/>
          </w:tcPr>
          <w:p w:rsidR="009F5184" w:rsidRDefault="009F5184">
            <w:pPr>
              <w:widowControl w:val="0"/>
              <w:rPr>
                <w:rFonts w:ascii="Times New Roman" w:hAnsi="Times New Roman"/>
                <w:sz w:val="22"/>
              </w:rPr>
            </w:pPr>
            <w:r>
              <w:rPr>
                <w:rFonts w:ascii="Times New Roman" w:hAnsi="Times New Roman"/>
                <w:sz w:val="22"/>
              </w:rPr>
              <w:t>Transpo Safety</w:t>
            </w:r>
          </w:p>
        </w:tc>
        <w:tc>
          <w:tcPr>
            <w:tcW w:w="3096" w:type="dxa"/>
            <w:tcBorders>
              <w:top w:val="single" w:sz="6" w:space="0" w:color="auto"/>
              <w:left w:val="single" w:sz="6" w:space="0" w:color="auto"/>
              <w:bottom w:val="single" w:sz="18" w:space="0" w:color="auto"/>
              <w:right w:val="single" w:sz="18" w:space="0" w:color="auto"/>
            </w:tcBorders>
            <w:vAlign w:val="center"/>
          </w:tcPr>
          <w:p w:rsidR="009F5184" w:rsidRDefault="009F5184">
            <w:pPr>
              <w:widowControl w:val="0"/>
              <w:rPr>
                <w:rFonts w:ascii="Times New Roman" w:hAnsi="Times New Roman"/>
                <w:sz w:val="22"/>
              </w:rPr>
            </w:pPr>
            <w:r>
              <w:rPr>
                <w:rFonts w:ascii="Times New Roman" w:hAnsi="Times New Roman"/>
                <w:sz w:val="22"/>
              </w:rPr>
              <w:t>SPM-1150</w:t>
            </w:r>
          </w:p>
        </w:tc>
      </w:tr>
    </w:tbl>
    <w:p w:rsidR="009F5184" w:rsidRDefault="009F5184">
      <w:pPr>
        <w:widowControl w:val="0"/>
        <w:rPr>
          <w:rFonts w:ascii="Times New Roman" w:hAnsi="Times New Roman"/>
          <w:sz w:val="22"/>
        </w:rPr>
      </w:pPr>
    </w:p>
    <w:p w:rsidR="009F5184" w:rsidRDefault="009F5184">
      <w:pPr>
        <w:widowControl w:val="0"/>
        <w:rPr>
          <w:rFonts w:ascii="Times New Roman" w:hAnsi="Times New Roman"/>
          <w:sz w:val="22"/>
        </w:rPr>
      </w:pPr>
      <w:r>
        <w:rPr>
          <w:rFonts w:ascii="Times New Roman" w:hAnsi="Times New Roman"/>
          <w:sz w:val="22"/>
        </w:rPr>
        <w:t xml:space="preserve">The Engineer's review of lighting materials will be coordinated with </w:t>
      </w:r>
      <w:smartTag w:uri="urn:schemas-microsoft-com:office:smarttags" w:element="place">
        <w:smartTag w:uri="urn:schemas-microsoft-com:office:smarttags" w:element="City">
          <w:r>
            <w:rPr>
              <w:rFonts w:ascii="Times New Roman" w:hAnsi="Times New Roman"/>
              <w:sz w:val="22"/>
            </w:rPr>
            <w:t>P.S.</w:t>
          </w:r>
        </w:smartTag>
        <w:r>
          <w:rPr>
            <w:rFonts w:ascii="Times New Roman" w:hAnsi="Times New Roman"/>
            <w:sz w:val="22"/>
          </w:rPr>
          <w:t xml:space="preserve"> </w:t>
        </w:r>
        <w:smartTag w:uri="urn:schemas-microsoft-com:office:smarttags" w:element="State">
          <w:r>
            <w:rPr>
              <w:rFonts w:ascii="Times New Roman" w:hAnsi="Times New Roman"/>
              <w:sz w:val="22"/>
            </w:rPr>
            <w:t>CO</w:t>
          </w:r>
        </w:smartTag>
      </w:smartTag>
      <w:r>
        <w:rPr>
          <w:rFonts w:ascii="Times New Roman" w:hAnsi="Times New Roman"/>
          <w:sz w:val="22"/>
        </w:rPr>
        <w:t>.</w:t>
      </w:r>
    </w:p>
    <w:p w:rsidR="009F5184" w:rsidRDefault="009F5184">
      <w:pPr>
        <w:widowControl w:val="0"/>
        <w:rPr>
          <w:rFonts w:ascii="Times New Roman" w:hAnsi="Times New Roman"/>
          <w:sz w:val="22"/>
        </w:rPr>
      </w:pPr>
    </w:p>
    <w:p w:rsidR="009F5184" w:rsidRDefault="009F5184">
      <w:pPr>
        <w:widowControl w:val="0"/>
        <w:rPr>
          <w:rFonts w:ascii="Times New Roman" w:hAnsi="Times New Roman"/>
          <w:sz w:val="22"/>
        </w:rPr>
      </w:pPr>
      <w:r>
        <w:rPr>
          <w:rFonts w:ascii="Times New Roman" w:hAnsi="Times New Roman"/>
          <w:sz w:val="22"/>
        </w:rPr>
        <w:t>The square light standards, mounting arms, and rectilinear luminaires shall be dark bronze, and the color shall be uniform for all components.  Surfaces to be field painted shall be given one shop coat of primer in accordance with subsection 509.24 and field coated with dark bronze paint in accordance with subsection 509.29.</w:t>
      </w:r>
    </w:p>
    <w:p w:rsidR="009F5184" w:rsidRDefault="009F5184">
      <w:pPr>
        <w:widowControl w:val="0"/>
        <w:rPr>
          <w:rFonts w:ascii="Times New Roman" w:hAnsi="Times New Roman"/>
          <w:sz w:val="22"/>
        </w:rPr>
      </w:pPr>
    </w:p>
    <w:p w:rsidR="009F5184" w:rsidRDefault="009F5184">
      <w:pPr>
        <w:widowControl w:val="0"/>
        <w:rPr>
          <w:rFonts w:ascii="Times New Roman" w:hAnsi="Times New Roman"/>
          <w:sz w:val="22"/>
        </w:rPr>
      </w:pPr>
      <w:r>
        <w:rPr>
          <w:rFonts w:ascii="Times New Roman" w:hAnsi="Times New Roman"/>
          <w:sz w:val="22"/>
        </w:rPr>
        <w:t>All aluminum surfaces to be painted shall be prepared with chemical conversion treatment as required in subsection 713.04.</w:t>
      </w:r>
    </w:p>
    <w:p w:rsidR="009F5184" w:rsidRDefault="009F5184">
      <w:pPr>
        <w:widowControl w:val="0"/>
        <w:rPr>
          <w:rFonts w:ascii="Times New Roman" w:hAnsi="Times New Roman"/>
          <w:sz w:val="22"/>
        </w:rPr>
      </w:pPr>
    </w:p>
    <w:p w:rsidR="009F5184" w:rsidRDefault="009F5184">
      <w:pPr>
        <w:widowControl w:val="0"/>
        <w:rPr>
          <w:rFonts w:ascii="Times New Roman" w:hAnsi="Times New Roman"/>
          <w:sz w:val="22"/>
        </w:rPr>
      </w:pPr>
      <w:r>
        <w:rPr>
          <w:rFonts w:ascii="Times New Roman" w:hAnsi="Times New Roman"/>
          <w:sz w:val="22"/>
        </w:rPr>
        <w:t>Subsection 613.05 shall include the following:</w:t>
      </w:r>
    </w:p>
    <w:p w:rsidR="009F5184" w:rsidRDefault="009F5184">
      <w:pPr>
        <w:widowControl w:val="0"/>
        <w:rPr>
          <w:rFonts w:ascii="Times New Roman" w:hAnsi="Times New Roman"/>
          <w:sz w:val="22"/>
        </w:rPr>
      </w:pPr>
    </w:p>
    <w:p w:rsidR="009F5184" w:rsidRPr="000514EE" w:rsidRDefault="009F5184">
      <w:pPr>
        <w:widowControl w:val="0"/>
        <w:rPr>
          <w:rFonts w:ascii="Times New Roman" w:hAnsi="Times New Roman"/>
          <w:sz w:val="22"/>
        </w:rPr>
      </w:pPr>
      <w:r>
        <w:rPr>
          <w:rFonts w:ascii="Times New Roman" w:hAnsi="Times New Roman"/>
          <w:sz w:val="22"/>
        </w:rPr>
        <w:t xml:space="preserve">At least one grounding electrode shall be installed adjacent to each light standard.  Wiring shall be a 120/240 volt or 120/208 volt, 3-wire system with individual luminaires wired </w:t>
      </w:r>
      <w:r w:rsidRPr="000514EE">
        <w:rPr>
          <w:rFonts w:ascii="Times New Roman" w:hAnsi="Times New Roman"/>
          <w:sz w:val="22"/>
        </w:rPr>
        <w:t>for 120 volts.</w:t>
      </w:r>
    </w:p>
    <w:sectPr w:rsidR="009F5184" w:rsidRPr="000514EE" w:rsidSect="00A62E92">
      <w:pgSz w:w="12240" w:h="15840"/>
      <w:pgMar w:top="720" w:right="1080" w:bottom="720" w:left="1080" w:header="10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6A"/>
    <w:rsid w:val="000514EE"/>
    <w:rsid w:val="00121B48"/>
    <w:rsid w:val="0013641F"/>
    <w:rsid w:val="004B676A"/>
    <w:rsid w:val="00640A81"/>
    <w:rsid w:val="006F7BE7"/>
    <w:rsid w:val="0083683A"/>
    <w:rsid w:val="00950F8E"/>
    <w:rsid w:val="009F5184"/>
    <w:rsid w:val="00A62E92"/>
    <w:rsid w:val="00D9506A"/>
    <w:rsid w:val="00E92D87"/>
    <w:rsid w:val="00FC2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3CC286F2-59B0-4D0D-864A-B48B83C6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E92"/>
    <w:rPr>
      <w:noProof/>
      <w:sz w:val="20"/>
      <w:szCs w:val="20"/>
    </w:rPr>
  </w:style>
  <w:style w:type="paragraph" w:styleId="Heading1">
    <w:name w:val="heading 1"/>
    <w:basedOn w:val="Normal"/>
    <w:next w:val="Normal"/>
    <w:link w:val="Heading1Char"/>
    <w:uiPriority w:val="99"/>
    <w:qFormat/>
    <w:rsid w:val="00A62E92"/>
    <w:pPr>
      <w:outlineLvl w:val="0"/>
    </w:pPr>
  </w:style>
  <w:style w:type="paragraph" w:styleId="Heading2">
    <w:name w:val="heading 2"/>
    <w:basedOn w:val="Normal"/>
    <w:next w:val="Normal"/>
    <w:link w:val="Heading2Char"/>
    <w:uiPriority w:val="99"/>
    <w:qFormat/>
    <w:rsid w:val="00A62E92"/>
    <w:pPr>
      <w:outlineLvl w:val="1"/>
    </w:pPr>
  </w:style>
  <w:style w:type="paragraph" w:styleId="Heading3">
    <w:name w:val="heading 3"/>
    <w:basedOn w:val="Normal"/>
    <w:next w:val="Normal"/>
    <w:link w:val="Heading3Char"/>
    <w:uiPriority w:val="99"/>
    <w:qFormat/>
    <w:rsid w:val="00A62E92"/>
    <w:pPr>
      <w:outlineLvl w:val="2"/>
    </w:pPr>
  </w:style>
  <w:style w:type="paragraph" w:styleId="Heading4">
    <w:name w:val="heading 4"/>
    <w:basedOn w:val="Normal"/>
    <w:next w:val="Normal"/>
    <w:link w:val="Heading4Char"/>
    <w:uiPriority w:val="99"/>
    <w:qFormat/>
    <w:rsid w:val="00A62E92"/>
    <w:pPr>
      <w:outlineLvl w:val="3"/>
    </w:pPr>
  </w:style>
  <w:style w:type="paragraph" w:styleId="Heading5">
    <w:name w:val="heading 5"/>
    <w:basedOn w:val="Normal"/>
    <w:next w:val="Normal"/>
    <w:link w:val="Heading5Char"/>
    <w:uiPriority w:val="99"/>
    <w:qFormat/>
    <w:rsid w:val="00A62E92"/>
    <w:pPr>
      <w:outlineLvl w:val="4"/>
    </w:pPr>
  </w:style>
  <w:style w:type="paragraph" w:styleId="Heading6">
    <w:name w:val="heading 6"/>
    <w:basedOn w:val="Normal"/>
    <w:next w:val="Normal"/>
    <w:link w:val="Heading6Char"/>
    <w:uiPriority w:val="99"/>
    <w:qFormat/>
    <w:rsid w:val="00A62E92"/>
    <w:pPr>
      <w:outlineLvl w:val="5"/>
    </w:pPr>
  </w:style>
  <w:style w:type="paragraph" w:styleId="Heading7">
    <w:name w:val="heading 7"/>
    <w:basedOn w:val="Normal"/>
    <w:next w:val="Normal"/>
    <w:link w:val="Heading7Char"/>
    <w:uiPriority w:val="99"/>
    <w:qFormat/>
    <w:rsid w:val="00A62E92"/>
    <w:pPr>
      <w:outlineLvl w:val="6"/>
    </w:pPr>
  </w:style>
  <w:style w:type="paragraph" w:styleId="Heading8">
    <w:name w:val="heading 8"/>
    <w:basedOn w:val="Normal"/>
    <w:next w:val="Normal"/>
    <w:link w:val="Heading8Char"/>
    <w:uiPriority w:val="99"/>
    <w:qFormat/>
    <w:rsid w:val="00A62E92"/>
    <w:pPr>
      <w:outlineLvl w:val="7"/>
    </w:pPr>
  </w:style>
  <w:style w:type="paragraph" w:styleId="Heading9">
    <w:name w:val="heading 9"/>
    <w:basedOn w:val="Normal"/>
    <w:next w:val="Normal"/>
    <w:link w:val="Heading9Char"/>
    <w:uiPriority w:val="99"/>
    <w:qFormat/>
    <w:rsid w:val="00A62E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3C2"/>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F533C2"/>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F533C2"/>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sid w:val="00F533C2"/>
    <w:rPr>
      <w:rFonts w:asciiTheme="minorHAnsi" w:eastAsiaTheme="minorEastAsia" w:hAnsiTheme="minorHAnsi" w:cstheme="minorBidi"/>
      <w:b/>
      <w:bCs/>
      <w:noProof/>
      <w:sz w:val="28"/>
      <w:szCs w:val="28"/>
    </w:rPr>
  </w:style>
  <w:style w:type="character" w:customStyle="1" w:styleId="Heading5Char">
    <w:name w:val="Heading 5 Char"/>
    <w:basedOn w:val="DefaultParagraphFont"/>
    <w:link w:val="Heading5"/>
    <w:uiPriority w:val="9"/>
    <w:semiHidden/>
    <w:rsid w:val="00F533C2"/>
    <w:rPr>
      <w:rFonts w:asciiTheme="minorHAnsi" w:eastAsiaTheme="minorEastAsia" w:hAnsiTheme="minorHAnsi" w:cstheme="minorBidi"/>
      <w:b/>
      <w:bCs/>
      <w:i/>
      <w:iCs/>
      <w:noProof/>
      <w:sz w:val="26"/>
      <w:szCs w:val="26"/>
    </w:rPr>
  </w:style>
  <w:style w:type="character" w:customStyle="1" w:styleId="Heading6Char">
    <w:name w:val="Heading 6 Char"/>
    <w:basedOn w:val="DefaultParagraphFont"/>
    <w:link w:val="Heading6"/>
    <w:uiPriority w:val="9"/>
    <w:semiHidden/>
    <w:rsid w:val="00F533C2"/>
    <w:rPr>
      <w:rFonts w:asciiTheme="minorHAnsi" w:eastAsiaTheme="minorEastAsia" w:hAnsiTheme="minorHAnsi" w:cstheme="minorBidi"/>
      <w:b/>
      <w:bCs/>
      <w:noProof/>
    </w:rPr>
  </w:style>
  <w:style w:type="character" w:customStyle="1" w:styleId="Heading7Char">
    <w:name w:val="Heading 7 Char"/>
    <w:basedOn w:val="DefaultParagraphFont"/>
    <w:link w:val="Heading7"/>
    <w:uiPriority w:val="9"/>
    <w:semiHidden/>
    <w:rsid w:val="00F533C2"/>
    <w:rPr>
      <w:rFonts w:asciiTheme="minorHAnsi" w:eastAsiaTheme="minorEastAsia" w:hAnsiTheme="minorHAnsi" w:cstheme="minorBidi"/>
      <w:noProof/>
      <w:sz w:val="24"/>
      <w:szCs w:val="24"/>
    </w:rPr>
  </w:style>
  <w:style w:type="character" w:customStyle="1" w:styleId="Heading8Char">
    <w:name w:val="Heading 8 Char"/>
    <w:basedOn w:val="DefaultParagraphFont"/>
    <w:link w:val="Heading8"/>
    <w:uiPriority w:val="9"/>
    <w:semiHidden/>
    <w:rsid w:val="00F533C2"/>
    <w:rPr>
      <w:rFonts w:asciiTheme="minorHAnsi" w:eastAsiaTheme="minorEastAsia" w:hAnsiTheme="minorHAnsi" w:cstheme="minorBidi"/>
      <w:i/>
      <w:iCs/>
      <w:noProof/>
      <w:sz w:val="24"/>
      <w:szCs w:val="24"/>
    </w:rPr>
  </w:style>
  <w:style w:type="character" w:customStyle="1" w:styleId="Heading9Char">
    <w:name w:val="Heading 9 Char"/>
    <w:basedOn w:val="DefaultParagraphFont"/>
    <w:link w:val="Heading9"/>
    <w:uiPriority w:val="9"/>
    <w:semiHidden/>
    <w:rsid w:val="00F533C2"/>
    <w:rPr>
      <w:rFonts w:asciiTheme="majorHAnsi" w:eastAsiaTheme="majorEastAsia" w:hAnsiTheme="majorHAnsi" w:cstheme="majorBidi"/>
      <w:noProof/>
    </w:rPr>
  </w:style>
  <w:style w:type="character" w:styleId="CommentReference">
    <w:name w:val="annotation reference"/>
    <w:basedOn w:val="DefaultParagraphFont"/>
    <w:uiPriority w:val="99"/>
    <w:rsid w:val="000514EE"/>
    <w:rPr>
      <w:rFonts w:cs="Times New Roman"/>
      <w:sz w:val="16"/>
      <w:szCs w:val="16"/>
    </w:rPr>
  </w:style>
  <w:style w:type="paragraph" w:styleId="CommentText">
    <w:name w:val="annotation text"/>
    <w:basedOn w:val="Normal"/>
    <w:link w:val="CommentTextChar"/>
    <w:uiPriority w:val="99"/>
    <w:rsid w:val="000514EE"/>
  </w:style>
  <w:style w:type="character" w:customStyle="1" w:styleId="CommentTextChar">
    <w:name w:val="Comment Text Char"/>
    <w:basedOn w:val="DefaultParagraphFont"/>
    <w:link w:val="CommentText"/>
    <w:uiPriority w:val="99"/>
    <w:locked/>
    <w:rsid w:val="000514EE"/>
    <w:rPr>
      <w:rFonts w:cs="Times New Roman"/>
      <w:noProof/>
    </w:rPr>
  </w:style>
  <w:style w:type="paragraph" w:styleId="CommentSubject">
    <w:name w:val="annotation subject"/>
    <w:basedOn w:val="CommentText"/>
    <w:next w:val="CommentText"/>
    <w:link w:val="CommentSubjectChar"/>
    <w:uiPriority w:val="99"/>
    <w:rsid w:val="000514EE"/>
    <w:rPr>
      <w:b/>
      <w:bCs/>
    </w:rPr>
  </w:style>
  <w:style w:type="character" w:customStyle="1" w:styleId="CommentSubjectChar">
    <w:name w:val="Comment Subject Char"/>
    <w:basedOn w:val="CommentTextChar"/>
    <w:link w:val="CommentSubject"/>
    <w:uiPriority w:val="99"/>
    <w:locked/>
    <w:rsid w:val="000514EE"/>
    <w:rPr>
      <w:rFonts w:cs="Times New Roman"/>
      <w:b/>
      <w:bCs/>
      <w:noProof/>
    </w:rPr>
  </w:style>
  <w:style w:type="paragraph" w:styleId="BalloonText">
    <w:name w:val="Balloon Text"/>
    <w:basedOn w:val="Normal"/>
    <w:link w:val="BalloonTextChar"/>
    <w:uiPriority w:val="99"/>
    <w:rsid w:val="000514EE"/>
    <w:rPr>
      <w:rFonts w:ascii="Tahoma" w:hAnsi="Tahoma" w:cs="Tahoma"/>
      <w:sz w:val="16"/>
      <w:szCs w:val="16"/>
    </w:rPr>
  </w:style>
  <w:style w:type="character" w:customStyle="1" w:styleId="BalloonTextChar">
    <w:name w:val="Balloon Text Char"/>
    <w:basedOn w:val="DefaultParagraphFont"/>
    <w:link w:val="BalloonText"/>
    <w:uiPriority w:val="99"/>
    <w:locked/>
    <w:rsid w:val="000514EE"/>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Staff Design</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Coy</dc:creator>
  <cp:keywords/>
  <dc:description/>
  <cp:lastModifiedBy>Avgeris, Louis</cp:lastModifiedBy>
  <cp:revision>4</cp:revision>
  <dcterms:created xsi:type="dcterms:W3CDTF">2017-04-07T14:51:00Z</dcterms:created>
  <dcterms:modified xsi:type="dcterms:W3CDTF">2017-06-27T22:12:00Z</dcterms:modified>
</cp:coreProperties>
</file>