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70B5" w14:textId="44F85CDA" w:rsidR="00DE68DB" w:rsidRDefault="00DE68DB" w:rsidP="003932A3">
      <w:pPr>
        <w:autoSpaceDE/>
        <w:autoSpaceDN/>
        <w:spacing w:after="16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A330E">
        <w:rPr>
          <w:rFonts w:ascii="Arial" w:hAnsi="Arial" w:cs="Arial"/>
          <w:b/>
          <w:bCs/>
          <w:color w:val="222222"/>
          <w:shd w:val="clear" w:color="auto" w:fill="FFFFFF"/>
        </w:rPr>
        <w:t xml:space="preserve">Page </w:t>
      </w:r>
      <w:r w:rsidR="00C71EAE">
        <w:rPr>
          <w:rFonts w:ascii="Arial" w:hAnsi="Arial" w:cs="Arial"/>
          <w:b/>
          <w:bCs/>
          <w:color w:val="222222"/>
          <w:shd w:val="clear" w:color="auto" w:fill="FFFFFF"/>
        </w:rPr>
        <w:t xml:space="preserve">601-50, </w:t>
      </w:r>
      <w:r w:rsidR="00BF02BC">
        <w:rPr>
          <w:rFonts w:ascii="Arial" w:hAnsi="Arial" w:cs="Arial"/>
          <w:b/>
          <w:bCs/>
          <w:color w:val="222222"/>
          <w:shd w:val="clear" w:color="auto" w:fill="FFFFFF"/>
        </w:rPr>
        <w:t>Table 601-3, “Deviations From Specified Air” was deleted erroneously.</w:t>
      </w:r>
    </w:p>
    <w:p w14:paraId="60D691B3" w14:textId="696F03EE" w:rsidR="00BF02BC" w:rsidRPr="00DA330E" w:rsidRDefault="00BF02BC" w:rsidP="00BF02BC">
      <w:pPr>
        <w:autoSpaceDE/>
        <w:autoSpaceDN/>
        <w:spacing w:after="1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8924D" wp14:editId="71525CD6">
                <wp:simplePos x="0" y="0"/>
                <wp:positionH relativeFrom="column">
                  <wp:posOffset>1590675</wp:posOffset>
                </wp:positionH>
                <wp:positionV relativeFrom="paragraph">
                  <wp:posOffset>3846830</wp:posOffset>
                </wp:positionV>
                <wp:extent cx="5038725" cy="485775"/>
                <wp:effectExtent l="0" t="0" r="9525" b="9525"/>
                <wp:wrapNone/>
                <wp:docPr id="2120202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E39FA" w14:textId="77777777" w:rsidR="00BF02BC" w:rsidRPr="00194096" w:rsidRDefault="00BF02BC" w:rsidP="00BF02BC">
                            <w:pPr>
                              <w:rPr>
                                <w:rFonts w:ascii="Trebuchet MS" w:hAnsi="Trebuchet MS" w:cs="Times New Roman"/>
                                <w:sz w:val="22"/>
                                <w:szCs w:val="22"/>
                              </w:rPr>
                            </w:pPr>
                            <w:r w:rsidRPr="00194096">
                              <w:rPr>
                                <w:rFonts w:ascii="Trebuchet MS" w:hAnsi="Trebuchet MS" w:cs="Arial"/>
                                <w:color w:val="000000"/>
                                <w:sz w:val="22"/>
                                <w:szCs w:val="22"/>
                              </w:rPr>
                              <w:t xml:space="preserve">Table 601-3 Notes: </w:t>
                            </w:r>
                            <w:r w:rsidRPr="00194096">
                              <w:rPr>
                                <w:rFonts w:ascii="Trebuchet MS" w:hAnsi="Trebuchet MS" w:cs="Times New Roman"/>
                                <w:sz w:val="22"/>
                                <w:szCs w:val="22"/>
                              </w:rPr>
                              <w:t>*</w:t>
                            </w:r>
                            <w:r w:rsidRPr="00194096">
                              <w:rPr>
                                <w:rFonts w:ascii="Trebuchet MS" w:hAnsi="Trebuchet MS" w:cs="Times New Roman"/>
                                <w:sz w:val="22"/>
                                <w:szCs w:val="22"/>
                              </w:rPr>
                              <w:tab/>
                              <w:t>Concrete represented by out-of-spec tests will only be price</w:t>
                            </w:r>
                            <w:r>
                              <w:rPr>
                                <w:rFonts w:ascii="Trebuchet MS" w:hAnsi="Trebuchet MS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Pr="00194096">
                              <w:rPr>
                                <w:rFonts w:ascii="Trebuchet MS" w:hAnsi="Trebuchet MS" w:cs="Times New Roman"/>
                                <w:sz w:val="22"/>
                                <w:szCs w:val="22"/>
                              </w:rPr>
                              <w:t>reduced with the lowest pay factor, not for each pay factor.</w:t>
                            </w:r>
                          </w:p>
                          <w:p w14:paraId="41F2EB5C" w14:textId="77777777" w:rsidR="00BF02BC" w:rsidRDefault="00BF02BC" w:rsidP="00BF0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92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25pt;margin-top:302.9pt;width:396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BtMAIAAFsEAAAOAAAAZHJzL2Uyb0RvYy54bWysVE1v2zAMvQ/YfxB0X+ykcZMZcYosRYYB&#10;QVsgHXpWZCk2IIuapMTOfv0oOV/rdhp2kUmReiIfnzx76BpFDsK6GnRBh4OUEqE5lLXeFfT76+rT&#10;lBLnmS6ZAi0KehSOPsw/fpi1JhcjqECVwhIE0S5vTUEr702eJI5XomFuAEZoDEqwDfPo2l1SWtYi&#10;eqOSUZreJy3Y0ljgwjncfeyDdB7xpRTcP0vphCeqoFibj6uN6zasyXzG8p1lpqr5qQz2D1U0rNZ4&#10;6QXqkXlG9rb+A6qpuQUH0g84NAlIWXMRe8Buhum7bjYVMyL2guQ4c6HJ/T9Y/nTYmBdLfPcFOhxg&#10;IKQ1Lne4GfrppG3CFyslGEcKjxfaROcJx80svZtORhklHGPjaTaZZAEmuZ421vmvAhoSjIJaHEtk&#10;ix3Wzvep55RwmQNVl6taqegEKYilsuTAcIjKxxoR/LcspUlb0Pu7LI3AGsLxHllprOXaU7B8t+1I&#10;Xd70u4XyiDRY6BXiDF/VWOuaOf/CLEoCO0eZ+2dcpAK8C04WJRXYn3/bD/k4KYxS0qLECup+7JkV&#10;lKhvGmf4eTgeB01GZ5xNRujY28j2NqL3zRKQgCE+KMOjGfK9OpvSQvOGr2ERbsUQ0xzvLqg/m0vf&#10;Cx9fExeLRUxCFRrm13pjeIAOhIdJvHZvzJrTuDwO+gnOYmT5u6n1ueGkhsXeg6zjSAPPPasn+lHB&#10;URSn1xaeyK0fs67/hPkvAAAA//8DAFBLAwQUAAYACAAAACEAVd4Xh+IAAAAMAQAADwAAAGRycy9k&#10;b3ducmV2LnhtbEyPy07DMBBF90j8gzVIbBC1aZpShTgVQjwkdjQ8xM6NhyQiHkexm4S/Z7qC5cwc&#10;3Tk3386uEyMOofWk4WqhQCBV3rZUa3gtHy43IEI0ZE3nCTX8YIBtcXqSm8z6iV5w3MVacAiFzGho&#10;YuwzKUPVoDNh4Xskvn35wZnI41BLO5iJw10nl0qtpTMt8YfG9HjXYPW9OzgNnxf1x3OYH9+mJE36&#10;+6exvH63pdbnZ/PtDYiIc/yD4ajP6lCw094fyAbRaVimKmVUw1ql3OFIqNWK6+15tVkmIItc/i9R&#10;/AIAAP//AwBQSwECLQAUAAYACAAAACEAtoM4kv4AAADhAQAAEwAAAAAAAAAAAAAAAAAAAAAAW0Nv&#10;bnRlbnRfVHlwZXNdLnhtbFBLAQItABQABgAIAAAAIQA4/SH/1gAAAJQBAAALAAAAAAAAAAAAAAAA&#10;AC8BAABfcmVscy8ucmVsc1BLAQItABQABgAIAAAAIQDj9NBtMAIAAFsEAAAOAAAAAAAAAAAAAAAA&#10;AC4CAABkcnMvZTJvRG9jLnhtbFBLAQItABQABgAIAAAAIQBV3heH4gAAAAwBAAAPAAAAAAAAAAAA&#10;AAAAAIoEAABkcnMvZG93bnJldi54bWxQSwUGAAAAAAQABADzAAAAmQUAAAAA&#10;" fillcolor="white [3201]" stroked="f" strokeweight=".5pt">
                <v:textbox>
                  <w:txbxContent>
                    <w:p w14:paraId="07AE39FA" w14:textId="77777777" w:rsidR="00BF02BC" w:rsidRPr="00194096" w:rsidRDefault="00BF02BC" w:rsidP="00BF02BC">
                      <w:pPr>
                        <w:rPr>
                          <w:rFonts w:ascii="Trebuchet MS" w:hAnsi="Trebuchet MS" w:cs="Times New Roman"/>
                          <w:sz w:val="22"/>
                          <w:szCs w:val="22"/>
                        </w:rPr>
                      </w:pPr>
                      <w:r w:rsidRPr="00194096">
                        <w:rPr>
                          <w:rFonts w:ascii="Trebuchet MS" w:hAnsi="Trebuchet MS" w:cs="Arial"/>
                          <w:color w:val="000000"/>
                          <w:sz w:val="22"/>
                          <w:szCs w:val="22"/>
                        </w:rPr>
                        <w:t xml:space="preserve">Table 601-3 Notes: </w:t>
                      </w:r>
                      <w:r w:rsidRPr="00194096">
                        <w:rPr>
                          <w:rFonts w:ascii="Trebuchet MS" w:hAnsi="Trebuchet MS" w:cs="Times New Roman"/>
                          <w:sz w:val="22"/>
                          <w:szCs w:val="22"/>
                        </w:rPr>
                        <w:t>*</w:t>
                      </w:r>
                      <w:r w:rsidRPr="00194096">
                        <w:rPr>
                          <w:rFonts w:ascii="Trebuchet MS" w:hAnsi="Trebuchet MS" w:cs="Times New Roman"/>
                          <w:sz w:val="22"/>
                          <w:szCs w:val="22"/>
                        </w:rPr>
                        <w:tab/>
                        <w:t>Concrete represented by out-of-spec tests will only be price</w:t>
                      </w:r>
                      <w:r>
                        <w:rPr>
                          <w:rFonts w:ascii="Trebuchet MS" w:hAnsi="Trebuchet MS" w:cs="Times New Roman"/>
                          <w:sz w:val="22"/>
                          <w:szCs w:val="22"/>
                        </w:rPr>
                        <w:t>-</w:t>
                      </w:r>
                      <w:r w:rsidRPr="00194096">
                        <w:rPr>
                          <w:rFonts w:ascii="Trebuchet MS" w:hAnsi="Trebuchet MS" w:cs="Times New Roman"/>
                          <w:sz w:val="22"/>
                          <w:szCs w:val="22"/>
                        </w:rPr>
                        <w:t>reduced with the lowest pay factor, not for each pay factor.</w:t>
                      </w:r>
                    </w:p>
                    <w:p w14:paraId="41F2EB5C" w14:textId="77777777" w:rsidR="00BF02BC" w:rsidRDefault="00BF02BC" w:rsidP="00BF02BC"/>
                  </w:txbxContent>
                </v:textbox>
              </v:shape>
            </w:pict>
          </mc:Fallback>
        </mc:AlternateContent>
      </w:r>
      <w:r w:rsidRPr="00F911A6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0168BC" wp14:editId="00190AEE">
                <wp:simplePos x="0" y="0"/>
                <wp:positionH relativeFrom="column">
                  <wp:posOffset>-323850</wp:posOffset>
                </wp:positionH>
                <wp:positionV relativeFrom="paragraph">
                  <wp:posOffset>292735</wp:posOffset>
                </wp:positionV>
                <wp:extent cx="6515100" cy="4619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F0305" w14:textId="77777777" w:rsidR="00BF02BC" w:rsidRDefault="00BF02BC" w:rsidP="00BF02BC">
                            <w:pPr>
                              <w:jc w:val="center"/>
                            </w:pPr>
                          </w:p>
                          <w:tbl>
                            <w:tblPr>
                              <w:tblW w:w="95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4"/>
                              <w:gridCol w:w="1272"/>
                              <w:gridCol w:w="960"/>
                              <w:gridCol w:w="1334"/>
                              <w:gridCol w:w="1272"/>
                              <w:gridCol w:w="960"/>
                              <w:gridCol w:w="1382"/>
                              <w:gridCol w:w="1272"/>
                            </w:tblGrid>
                            <w:tr w:rsidR="00BF02BC" w:rsidRPr="00F911A6" w14:paraId="40BA102B" w14:textId="77777777" w:rsidTr="00F911A6">
                              <w:trPr>
                                <w:trHeight w:val="2292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nil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F398E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00"/>
                                    </w:rPr>
                                    <w:t>Below Specified Strength (psi)        [ ≥ 4500 psi Concrete]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12" w:space="0" w:color="000000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3DB7B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*</w:t>
                                  </w:r>
                                  <w:r w:rsidRPr="00F911A6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00"/>
                                    </w:rPr>
                                    <w:t>Pay Factor (Percent)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D2970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EB9E9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00"/>
                                    </w:rPr>
                                    <w:t>Below Specified Strength (psi)            [ &lt; 4500 psi Concrete]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double" w:sz="6" w:space="0" w:color="auto"/>
                                    <w:left w:val="nil"/>
                                    <w:bottom w:val="single" w:sz="12" w:space="0" w:color="000000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C306FE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*</w:t>
                                  </w:r>
                                  <w:r w:rsidRPr="00F911A6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00"/>
                                    </w:rPr>
                                    <w:t>Pay Factor (Percent)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41073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Merge w:val="restart"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single" w:sz="12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BDD7B0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b/>
                                      <w:bCs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00"/>
                                      <w:highlight w:val="green"/>
                                    </w:rPr>
                                    <w:t>Deviations From Specified Air (Percent)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double" w:sz="6" w:space="0" w:color="auto"/>
                                    <w:left w:val="single" w:sz="8" w:space="0" w:color="auto"/>
                                    <w:bottom w:val="single" w:sz="12" w:space="0" w:color="000000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4086290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*</w:t>
                                  </w:r>
                                  <w:r w:rsidRPr="00BF02BC"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color w:val="000000"/>
                                      <w:highlight w:val="green"/>
                                    </w:rPr>
                                    <w:t>Pay Factor (Percent)</w:t>
                                  </w:r>
                                </w:p>
                              </w:tc>
                            </w:tr>
                            <w:tr w:rsidR="00BF02BC" w:rsidRPr="00F911A6" w14:paraId="28FD317F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3D0B2401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1 – 100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6F7100C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38620E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doub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5716AC18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1 – 100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1BD4FBF9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D33E79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Merge/>
                                  <w:tcBorders>
                                    <w:top w:val="double" w:sz="6" w:space="0" w:color="auto"/>
                                    <w:left w:val="double" w:sz="6" w:space="0" w:color="auto"/>
                                    <w:bottom w:val="single" w:sz="12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107894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b/>
                                      <w:bCs/>
                                      <w:color w:val="000000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top w:val="double" w:sz="6" w:space="0" w:color="auto"/>
                                    <w:left w:val="single" w:sz="8" w:space="0" w:color="auto"/>
                                    <w:bottom w:val="single" w:sz="12" w:space="0" w:color="000000"/>
                                    <w:right w:val="double" w:sz="6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EEB0B0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BF02BC" w:rsidRPr="00F911A6" w14:paraId="544A560F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609BA6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101 – 200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3FDFD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7BC960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E9222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101 – 200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D0B19A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3A3398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4FDA0F1B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Calibri"/>
                                      <w:color w:val="000000"/>
                                      <w:highlight w:val="green"/>
                                    </w:rPr>
                                    <w:t>0.0 – 0.2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7B82642F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Calibri"/>
                                      <w:color w:val="000000"/>
                                      <w:highlight w:val="green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BF02BC" w:rsidRPr="00F911A6" w14:paraId="20B2C3DF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42D4685F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201 – 300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69B4E611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EB070C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627A2E46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201 – 300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044E283F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6AB32E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68D1B1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0.3 – 0.4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412EF2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BF02BC" w:rsidRPr="00F911A6" w14:paraId="72766704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110035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301 – 400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419B96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FABB6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8F37C0A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301 – 400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EA528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6C655A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5878E79D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Calibri"/>
                                      <w:color w:val="000000"/>
                                      <w:highlight w:val="green"/>
                                    </w:rPr>
                                    <w:t>0.5 – 0.6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315A5B89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Calibri"/>
                                      <w:color w:val="000000"/>
                                      <w:highlight w:val="green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BF02BC" w:rsidRPr="00F911A6" w14:paraId="14BD0DD8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435AF2E6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401 – 500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1325318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E8F470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47F6269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401 – 500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4933F1CF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0627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5D9DDC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0.7 – 0.8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7DD0B9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BF02BC" w:rsidRPr="00F911A6" w14:paraId="6DD086FE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C8D9A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B51DE3D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Reject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C7A17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89AA11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Over 500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4E409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Reject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10C8B6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62F09826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Calibri"/>
                                      <w:color w:val="000000"/>
                                      <w:highlight w:val="green"/>
                                    </w:rPr>
                                    <w:t>0.9 – 1.0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4309E630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Calibri"/>
                                      <w:color w:val="000000"/>
                                      <w:highlight w:val="green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BF02BC" w:rsidRPr="00F911A6" w14:paraId="733F3914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73D7AA04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501 – 600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33A2637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E005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EF7048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3450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6B492C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double" w:sz="6" w:space="0" w:color="auto"/>
                                    <w:bottom w:val="double" w:sz="6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E308F5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Over 1.0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single" w:sz="8" w:space="0" w:color="auto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DB6F06" w14:textId="77777777" w:rsidR="00BF02BC" w:rsidRPr="00BF02BC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  <w:highlight w:val="green"/>
                                    </w:rPr>
                                  </w:pPr>
                                  <w:r w:rsidRPr="00BF02BC">
                                    <w:rPr>
                                      <w:rFonts w:ascii="Trebuchet MS" w:hAnsi="Trebuchet MS" w:cs="Arial"/>
                                      <w:color w:val="000000"/>
                                      <w:highlight w:val="green"/>
                                    </w:rPr>
                                    <w:t>Reject</w:t>
                                  </w:r>
                                </w:p>
                              </w:tc>
                            </w:tr>
                            <w:tr w:rsidR="00BF02BC" w:rsidRPr="00F911A6" w14:paraId="1AE3A1CE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7DB6DD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601 – 700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0DD2D35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1BF37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57F254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F83424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F528B0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26B916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974FF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02BC" w:rsidRPr="00F911A6" w14:paraId="62AF4E1C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29C3250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701 – 800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3E70DC3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BD96F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55E2F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F0F805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67ACF0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6233D9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6C02A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02BC" w:rsidRPr="00F911A6" w14:paraId="44A7CBC3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5468E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801 – 900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4952DE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FCC651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1100E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E1C20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DD515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859B45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26FCC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02BC" w:rsidRPr="00F911A6" w14:paraId="3632FD6F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7440CBFB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901 – 1000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double" w:sz="6" w:space="0" w:color="auto"/>
                                  </w:tcBorders>
                                  <w:shd w:val="clear" w:color="000000" w:fill="DFDFDF"/>
                                  <w:vAlign w:val="center"/>
                                  <w:hideMark/>
                                </w:tcPr>
                                <w:p w14:paraId="74DE5BB5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7134F4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093468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C435C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21087F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4FD570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BC19B4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02BC" w:rsidRPr="00F911A6" w14:paraId="59E27AC3" w14:textId="77777777" w:rsidTr="00F911A6">
                              <w:trPr>
                                <w:trHeight w:val="33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double" w:sz="6" w:space="0" w:color="auto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316C81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Over 1000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1C8141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  <w:r w:rsidRPr="00F911A6">
                                    <w:rPr>
                                      <w:rFonts w:ascii="Trebuchet MS" w:hAnsi="Trebuchet MS" w:cs="Arial"/>
                                      <w:color w:val="000000"/>
                                    </w:rPr>
                                    <w:t>Reject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978622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rebuchet MS" w:hAnsi="Trebuchet MS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1B94A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2E3E4C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18D177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286C43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CE42B8" w14:textId="77777777" w:rsidR="00BF02BC" w:rsidRPr="00F911A6" w:rsidRDefault="00BF02BC" w:rsidP="00F911A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8C7696" w14:textId="77777777" w:rsidR="00BF02BC" w:rsidRDefault="00BF02BC" w:rsidP="00BF0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68BC" id="Text Box 2" o:spid="_x0000_s1027" type="#_x0000_t202" style="position:absolute;left:0;text-align:left;margin-left:-25.5pt;margin-top:23.05pt;width:513pt;height:3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NmDAIAAPcDAAAOAAAAZHJzL2Uyb0RvYy54bWysU8GO0zAQvSPxD5bvNEnVlm3UdLV0KUJa&#10;FqSFD3Acp7GwPcZ2m5SvZ+xkuwVuCB8sj2f8ZubN8+Z20IqchPMSTEWLWU6JMBwaaQ4V/fZ1/+aG&#10;Eh+YaZgCIyp6Fp7ebl+/2vS2FHPoQDXCEQQxvuxtRbsQbJllnndCMz8DKww6W3CaBTTdIWsc6xFd&#10;q2ye56usB9dYB1x4j7f3o5NuE37bCh4+t60XgaiKYm0h7S7tddyz7YaVB8dsJ/lUBvuHKjSTBpNe&#10;oO5ZYOTo5F9QWnIHHtow46AzaFvJReoBuynyP7p56pgVqRckx9sLTf7/wfLH05P94kgY3sGAA0xN&#10;ePsA/LsnBnYdMwdx5xz0nWANJi4iZVlvfTk9jVT70keQuv8EDQ6ZHQMkoKF1OrKCfRJExwGcL6SL&#10;IRCOl6tlsSxydHH0LVbFejVfphysfH5unQ8fBGgSDxV1ONUEz04PPsRyWPkcErN5ULLZS6WS4Q71&#10;TjlyYqiAfVoT+m9hypC+ousl5o6vDMT3SRxaBlSokrqiN3lco2YiHe9Nk0ICk2o8YyXKTPxESkZy&#10;wlAPGBh5qqE5I1MORiXiz8FDB+4nJT2qsKL+x5E5QYn6aJDtdbFYRNkmY7F8O0fDXXvqaw8zHKEq&#10;GigZj7uQpD52dIdTaWXi66WSqVZUV6Jx+glRvtd2inr5r9tfAAAA//8DAFBLAwQUAAYACAAAACEA&#10;a+ofWd8AAAAKAQAADwAAAGRycy9kb3ducmV2LnhtbEyPwU7DMBBE70j8g7WVuKDWCTQxDXEqQAJx&#10;bekHbBI3iRqvo9ht0r9nOdHj7Ixm3+Tb2fbiYkbfOdIQryIQhipXd9RoOPx8Ll9A+IBUY+/IaLga&#10;D9vi/i7HrHYT7cxlHxrBJeQz1NCGMGRS+qo1Fv3KDYbYO7rRYmA5NrIeceJy28unKEqlxY74Q4uD&#10;+WhNddqfrYbj9/SYbKbyKxzUbp2+Y6dKd9X6YTG/vYIIZg7/YfjDZ3QomKl0Z6q96DUsk5i3BA3r&#10;NAbBgY1K+FBqUOo5BVnk8nZC8QsAAP//AwBQSwECLQAUAAYACAAAACEAtoM4kv4AAADhAQAAEwAA&#10;AAAAAAAAAAAAAAAAAAAAW0NvbnRlbnRfVHlwZXNdLnhtbFBLAQItABQABgAIAAAAIQA4/SH/1gAA&#10;AJQBAAALAAAAAAAAAAAAAAAAAC8BAABfcmVscy8ucmVsc1BLAQItABQABgAIAAAAIQBpk4NmDAIA&#10;APcDAAAOAAAAAAAAAAAAAAAAAC4CAABkcnMvZTJvRG9jLnhtbFBLAQItABQABgAIAAAAIQBr6h9Z&#10;3wAAAAoBAAAPAAAAAAAAAAAAAAAAAGYEAABkcnMvZG93bnJldi54bWxQSwUGAAAAAAQABADzAAAA&#10;cgUAAAAA&#10;" stroked="f">
                <v:textbox>
                  <w:txbxContent>
                    <w:p w14:paraId="070F0305" w14:textId="77777777" w:rsidR="00BF02BC" w:rsidRDefault="00BF02BC" w:rsidP="00BF02BC">
                      <w:pPr>
                        <w:jc w:val="center"/>
                      </w:pPr>
                    </w:p>
                    <w:tbl>
                      <w:tblPr>
                        <w:tblW w:w="9560" w:type="dxa"/>
                        <w:tblLook w:val="04A0" w:firstRow="1" w:lastRow="0" w:firstColumn="1" w:lastColumn="0" w:noHBand="0" w:noVBand="1"/>
                      </w:tblPr>
                      <w:tblGrid>
                        <w:gridCol w:w="1334"/>
                        <w:gridCol w:w="1272"/>
                        <w:gridCol w:w="960"/>
                        <w:gridCol w:w="1334"/>
                        <w:gridCol w:w="1272"/>
                        <w:gridCol w:w="960"/>
                        <w:gridCol w:w="1382"/>
                        <w:gridCol w:w="1272"/>
                      </w:tblGrid>
                      <w:tr w:rsidR="00BF02BC" w:rsidRPr="00F911A6" w14:paraId="40BA102B" w14:textId="77777777" w:rsidTr="00F911A6">
                        <w:trPr>
                          <w:trHeight w:val="2292"/>
                        </w:trPr>
                        <w:tc>
                          <w:tcPr>
                            <w:tcW w:w="1280" w:type="dxa"/>
                            <w:tcBorders>
                              <w:top w:val="double" w:sz="6" w:space="0" w:color="auto"/>
                              <w:left w:val="double" w:sz="6" w:space="0" w:color="auto"/>
                              <w:bottom w:val="nil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F398E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</w:rPr>
                              <w:t>Below Specified Strength (psi)        [ ≥ 4500 psi Concrete]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double" w:sz="6" w:space="0" w:color="auto"/>
                              <w:left w:val="nil"/>
                              <w:bottom w:val="single" w:sz="12" w:space="0" w:color="000000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3DB7B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*</w:t>
                            </w:r>
                            <w:r w:rsidRPr="00F911A6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</w:rPr>
                              <w:t>Pay Factor (Percent)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D2970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double" w:sz="6" w:space="0" w:color="auto"/>
                              <w:left w:val="double" w:sz="6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EB9E9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</w:rPr>
                              <w:t>Below Specified Strength (psi)            [ &lt; 4500 psi Concrete]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double" w:sz="6" w:space="0" w:color="auto"/>
                              <w:left w:val="nil"/>
                              <w:bottom w:val="single" w:sz="12" w:space="0" w:color="000000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C306FE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*</w:t>
                            </w:r>
                            <w:r w:rsidRPr="00F911A6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</w:rPr>
                              <w:t>Pay Factor (Percent)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41073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Merge w:val="restart"/>
                            <w:tcBorders>
                              <w:top w:val="double" w:sz="6" w:space="0" w:color="auto"/>
                              <w:left w:val="double" w:sz="6" w:space="0" w:color="auto"/>
                              <w:bottom w:val="single" w:sz="12" w:space="0" w:color="000000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BDD7B0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highlight w:val="green"/>
                              </w:rPr>
                              <w:t>Deviations From Specified Air (Percent)</w:t>
                            </w:r>
                          </w:p>
                        </w:tc>
                        <w:tc>
                          <w:tcPr>
                            <w:tcW w:w="1160" w:type="dxa"/>
                            <w:vMerge w:val="restart"/>
                            <w:tcBorders>
                              <w:top w:val="double" w:sz="6" w:space="0" w:color="auto"/>
                              <w:left w:val="single" w:sz="8" w:space="0" w:color="auto"/>
                              <w:bottom w:val="single" w:sz="12" w:space="0" w:color="000000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4086290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*</w:t>
                            </w:r>
                            <w:r w:rsidRPr="00BF02BC">
                              <w:rPr>
                                <w:rFonts w:ascii="Trebuchet MS" w:hAnsi="Trebuchet MS" w:cs="Arial"/>
                                <w:b/>
                                <w:bCs/>
                                <w:color w:val="000000"/>
                                <w:highlight w:val="green"/>
                              </w:rPr>
                              <w:t>Pay Factor (Percent)</w:t>
                            </w:r>
                          </w:p>
                        </w:tc>
                      </w:tr>
                      <w:tr w:rsidR="00BF02BC" w:rsidRPr="00F911A6" w14:paraId="28FD317F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3D0B2401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1 – 100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6F7100C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38620E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doub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5716AC18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1 – 100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1BD4FBF9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D33E79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Merge/>
                            <w:tcBorders>
                              <w:top w:val="double" w:sz="6" w:space="0" w:color="auto"/>
                              <w:left w:val="double" w:sz="6" w:space="0" w:color="auto"/>
                              <w:bottom w:val="single" w:sz="12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7107894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000000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vMerge/>
                            <w:tcBorders>
                              <w:top w:val="double" w:sz="6" w:space="0" w:color="auto"/>
                              <w:left w:val="single" w:sz="8" w:space="0" w:color="auto"/>
                              <w:bottom w:val="single" w:sz="12" w:space="0" w:color="000000"/>
                              <w:right w:val="double" w:sz="6" w:space="0" w:color="auto"/>
                            </w:tcBorders>
                            <w:vAlign w:val="center"/>
                            <w:hideMark/>
                          </w:tcPr>
                          <w:p w14:paraId="5DEEB0B0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</w:p>
                        </w:tc>
                      </w:tr>
                      <w:tr w:rsidR="00BF02BC" w:rsidRPr="00F911A6" w14:paraId="544A560F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4609BA6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101 – 200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3FDFD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7BC960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E9222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101 – 200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D0B19A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3A3398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4FDA0F1B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Calibri"/>
                                <w:color w:val="000000"/>
                                <w:highlight w:val="green"/>
                              </w:rPr>
                              <w:t>0.0 – 0.2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7B82642F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Calibri"/>
                                <w:color w:val="000000"/>
                                <w:highlight w:val="green"/>
                              </w:rPr>
                              <w:t>98</w:t>
                            </w:r>
                          </w:p>
                        </w:tc>
                      </w:tr>
                      <w:tr w:rsidR="00BF02BC" w:rsidRPr="00F911A6" w14:paraId="20B2C3DF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42D4685F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201 – 300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69B4E611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EB070C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627A2E46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201 – 300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044E283F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6AB32E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968D1B1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0.3 – 0.4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5412EF2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96</w:t>
                            </w:r>
                          </w:p>
                        </w:tc>
                      </w:tr>
                      <w:tr w:rsidR="00BF02BC" w:rsidRPr="00F911A6" w14:paraId="72766704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5110035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301 – 400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419B96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FABB6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8F37C0A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301 – 400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FEA528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6C655A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5878E79D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Calibri"/>
                                <w:color w:val="000000"/>
                                <w:highlight w:val="green"/>
                              </w:rPr>
                              <w:t>0.5 – 0.6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315A5B89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Calibri"/>
                                <w:color w:val="000000"/>
                                <w:highlight w:val="green"/>
                              </w:rPr>
                              <w:t>92</w:t>
                            </w:r>
                          </w:p>
                        </w:tc>
                      </w:tr>
                      <w:tr w:rsidR="00BF02BC" w:rsidRPr="00F911A6" w14:paraId="14BD0DD8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435AF2E6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401 – 500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1325318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E8F470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47F6269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401 – 500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4933F1CF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0627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5D9DDC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0.7 – 0.8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7DD0B9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84</w:t>
                            </w:r>
                          </w:p>
                        </w:tc>
                      </w:tr>
                      <w:tr w:rsidR="00BF02BC" w:rsidRPr="00F911A6" w14:paraId="6DD086FE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C8D9A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B51DE3D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Reject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C7A17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double" w:sz="6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89AA11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Over 500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4E409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Reject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10C8B6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nil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62F09826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Calibri"/>
                                <w:color w:val="000000"/>
                                <w:highlight w:val="green"/>
                              </w:rPr>
                              <w:t>0.9 – 1.0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4309E630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Calibri"/>
                                <w:color w:val="000000"/>
                                <w:highlight w:val="green"/>
                              </w:rPr>
                              <w:t>75</w:t>
                            </w:r>
                          </w:p>
                        </w:tc>
                      </w:tr>
                      <w:tr w:rsidR="00BF02BC" w:rsidRPr="00F911A6" w14:paraId="733F3914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73D7AA04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501 – 600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33A2637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E005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EF7048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3450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6B492C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double" w:sz="6" w:space="0" w:color="auto"/>
                              <w:bottom w:val="double" w:sz="6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6E308F5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Over 1.0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single" w:sz="8" w:space="0" w:color="auto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DB6F06" w14:textId="77777777" w:rsidR="00BF02BC" w:rsidRPr="00BF02BC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  <w:highlight w:val="green"/>
                              </w:rPr>
                            </w:pPr>
                            <w:r w:rsidRPr="00BF02BC">
                              <w:rPr>
                                <w:rFonts w:ascii="Trebuchet MS" w:hAnsi="Trebuchet MS" w:cs="Arial"/>
                                <w:color w:val="000000"/>
                                <w:highlight w:val="green"/>
                              </w:rPr>
                              <w:t>Reject</w:t>
                            </w:r>
                          </w:p>
                        </w:tc>
                      </w:tr>
                      <w:tr w:rsidR="00BF02BC" w:rsidRPr="00F911A6" w14:paraId="1AE3A1CE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7DB6DD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601 – 700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0DD2D35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1BF37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57F254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F83424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F528B0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26B916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974FF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F02BC" w:rsidRPr="00F911A6" w14:paraId="62AF4E1C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29C3250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701 – 800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3E70DC3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BD96F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55E2F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F0F805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67ACF0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6233D9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6C02A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F02BC" w:rsidRPr="00F911A6" w14:paraId="44A7CBC3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5468E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801 – 900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4952DE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FCC651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51100E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E1C20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DD515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859B45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26FCC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F02BC" w:rsidRPr="00F911A6" w14:paraId="3632FD6F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7440CBFB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901 – 1000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double" w:sz="6" w:space="0" w:color="auto"/>
                            </w:tcBorders>
                            <w:shd w:val="clear" w:color="000000" w:fill="DFDFDF"/>
                            <w:vAlign w:val="center"/>
                            <w:hideMark/>
                          </w:tcPr>
                          <w:p w14:paraId="74DE5BB5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7134F4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093468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2C435C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21087F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4FD570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BC19B4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F02BC" w:rsidRPr="00F911A6" w14:paraId="59E27AC3" w14:textId="77777777" w:rsidTr="00F911A6">
                        <w:trPr>
                          <w:trHeight w:val="339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double" w:sz="6" w:space="0" w:color="auto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316C81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Over 1000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double" w:sz="6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1C8141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  <w:r w:rsidRPr="00F911A6">
                              <w:rPr>
                                <w:rFonts w:ascii="Trebuchet MS" w:hAnsi="Trebuchet MS" w:cs="Arial"/>
                                <w:color w:val="000000"/>
                              </w:rPr>
                              <w:t>Reject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978622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rebuchet MS" w:hAnsi="Trebuchet MS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1B94A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2E3E4C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18D177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286C43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CE42B8" w14:textId="77777777" w:rsidR="00BF02BC" w:rsidRPr="00F911A6" w:rsidRDefault="00BF02BC" w:rsidP="00F911A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08C7696" w14:textId="77777777" w:rsidR="00BF02BC" w:rsidRDefault="00BF02BC" w:rsidP="00BF02B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2BC" w:rsidRPr="00DA33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64B6" w14:textId="77777777" w:rsidR="00B5041D" w:rsidRDefault="00B5041D" w:rsidP="0028598F">
      <w:r>
        <w:separator/>
      </w:r>
    </w:p>
  </w:endnote>
  <w:endnote w:type="continuationSeparator" w:id="0">
    <w:p w14:paraId="32BAFFF5" w14:textId="77777777" w:rsidR="00B5041D" w:rsidRDefault="00B5041D" w:rsidP="0028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9F8A" w14:textId="77777777" w:rsidR="00B5041D" w:rsidRDefault="00B5041D" w:rsidP="0028598F">
      <w:r>
        <w:separator/>
      </w:r>
    </w:p>
  </w:footnote>
  <w:footnote w:type="continuationSeparator" w:id="0">
    <w:p w14:paraId="7C0EE93A" w14:textId="77777777" w:rsidR="00B5041D" w:rsidRDefault="00B5041D" w:rsidP="0028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D4BD" w14:textId="60E7B85B" w:rsidR="0028598F" w:rsidRPr="003932A3" w:rsidRDefault="00F35811">
    <w:pPr>
      <w:pStyle w:val="Header"/>
      <w:rPr>
        <w:rFonts w:ascii="Trebuchet MS" w:hAnsi="Trebuchet MS"/>
      </w:rPr>
    </w:pPr>
    <w:r>
      <w:rPr>
        <w:rFonts w:ascii="Trebuchet MS" w:hAnsi="Trebuchet MS"/>
      </w:rPr>
      <w:t xml:space="preserve">Date Issued </w:t>
    </w:r>
    <w:r w:rsidR="00C71EAE">
      <w:rPr>
        <w:rFonts w:ascii="Trebuchet MS" w:hAnsi="Trebuchet MS"/>
      </w:rPr>
      <w:t>9.8.25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B"/>
    <w:rsid w:val="00186A94"/>
    <w:rsid w:val="00194CF1"/>
    <w:rsid w:val="0028598F"/>
    <w:rsid w:val="003652CC"/>
    <w:rsid w:val="003932A3"/>
    <w:rsid w:val="005F58A7"/>
    <w:rsid w:val="006A1946"/>
    <w:rsid w:val="007C68DE"/>
    <w:rsid w:val="008417E9"/>
    <w:rsid w:val="00B5041D"/>
    <w:rsid w:val="00B77EB2"/>
    <w:rsid w:val="00BF02BC"/>
    <w:rsid w:val="00C71EAE"/>
    <w:rsid w:val="00DA330E"/>
    <w:rsid w:val="00DE68DB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95BA"/>
  <w15:chartTrackingRefBased/>
  <w15:docId w15:val="{C936B648-F7B8-4E9C-8A4C-DF24D905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B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 Head"/>
    <w:basedOn w:val="BodyText"/>
    <w:qFormat/>
    <w:rsid w:val="00DE68DB"/>
    <w:pPr>
      <w:keepNext/>
      <w:keepLines/>
      <w:widowControl/>
      <w:spacing w:after="200" w:line="247" w:lineRule="auto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E6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8DB"/>
    <w:rPr>
      <w:rFonts w:ascii="Courier" w:eastAsia="Times New Roman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8F"/>
    <w:rPr>
      <w:rFonts w:ascii="Courier" w:eastAsia="Times New Roman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8F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4</cp:revision>
  <dcterms:created xsi:type="dcterms:W3CDTF">2025-09-08T18:08:00Z</dcterms:created>
  <dcterms:modified xsi:type="dcterms:W3CDTF">2025-09-08T19:19:00Z</dcterms:modified>
</cp:coreProperties>
</file>