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B904" w14:textId="77777777" w:rsidR="00F708F1" w:rsidRDefault="00EF1C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E5DD05" wp14:editId="775D0C76">
                <wp:simplePos x="0" y="0"/>
                <wp:positionH relativeFrom="column">
                  <wp:posOffset>556895</wp:posOffset>
                </wp:positionH>
                <wp:positionV relativeFrom="paragraph">
                  <wp:posOffset>13970</wp:posOffset>
                </wp:positionV>
                <wp:extent cx="2863215" cy="838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109D" w14:textId="77777777" w:rsidR="00EF1C28" w:rsidRDefault="00EF1C28">
                            <w:r>
                              <w:rPr>
                                <w:rStyle w:val="gmaildefault"/>
                                <w:rFonts w:ascii="Arial" w:hAnsi="Arial" w:cs="Arial"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t>​​​​</w:t>
                            </w:r>
                            <w:r w:rsidR="008C6DF1" w:rsidRPr="00EF1C28">
                              <w:rPr>
                                <w:rStyle w:val="gmaildefault"/>
                                <w:rFonts w:ascii="Arial" w:hAnsi="Arial" w:cs="Arial"/>
                                <w:noProof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drawing>
                                <wp:inline distT="0" distB="0" distL="0" distR="0" wp14:anchorId="3F831BD9" wp14:editId="23D027E7">
                                  <wp:extent cx="2671445" cy="88357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1445" cy="88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C28">
                              <w:rPr>
                                <w:rStyle w:val="gmaildefault"/>
                                <w:rFonts w:ascii="Arial" w:hAnsi="Arial" w:cs="Arial"/>
                                <w:noProof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drawing>
                                <wp:inline distT="0" distB="0" distL="0" distR="0" wp14:anchorId="03979B1E" wp14:editId="6A268B56">
                                  <wp:extent cx="2671445" cy="77276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1445" cy="772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85pt;margin-top:1.1pt;width:225.4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" stroked="f">
                <v:textbox>
                  <w:txbxContent>
                    <w:p w:rsidR="00EF1C28" w:rsidRDefault="00EF1C28">
                      <w:r>
                        <w:rPr>
                          <w:rStyle w:val="gmaildefault"/>
                          <w:rFonts w:ascii="Arial" w:hAnsi="Arial" w:cs="Arial"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t>​​​​</w:t>
                      </w:r>
                      <w:r w:rsidR="008C6DF1" w:rsidRPr="00EF1C28">
                        <w:rPr>
                          <w:rStyle w:val="gmaildefault"/>
                          <w:rFonts w:ascii="Arial" w:hAnsi="Arial" w:cs="Arial"/>
                          <w:noProof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drawing>
                          <wp:inline distT="0" distB="0" distL="0" distR="0" wp14:anchorId="3B5F77C8" wp14:editId="58830DF2">
                            <wp:extent cx="2671445" cy="88357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1445" cy="88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C28">
                        <w:rPr>
                          <w:rStyle w:val="gmaildefault"/>
                          <w:rFonts w:ascii="Arial" w:hAnsi="Arial" w:cs="Arial"/>
                          <w:noProof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drawing>
                          <wp:inline distT="0" distB="0" distL="0" distR="0">
                            <wp:extent cx="2671445" cy="77276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1445" cy="772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FCD76" w14:textId="502743AF" w:rsidR="001110BD" w:rsidRDefault="001110BD"/>
    <w:p w14:paraId="3059D6D9" w14:textId="77777777" w:rsidR="001110BD" w:rsidRPr="001110BD" w:rsidRDefault="001110BD">
      <w:pPr>
        <w:rPr>
          <w:rFonts w:ascii="Times New Roman" w:hAnsi="Times New Roman" w:cs="Times New Roman"/>
        </w:rPr>
      </w:pPr>
    </w:p>
    <w:p w14:paraId="01941868" w14:textId="6760C984" w:rsidR="001110BD" w:rsidRDefault="001110BD">
      <w:pPr>
        <w:rPr>
          <w:rFonts w:ascii="Times New Roman" w:hAnsi="Times New Roman" w:cs="Times New Roman"/>
        </w:rPr>
      </w:pPr>
    </w:p>
    <w:p w14:paraId="1DCA9DC8" w14:textId="2EA631E8" w:rsidR="00E7440A" w:rsidRPr="00C34F94" w:rsidRDefault="00B37EDA" w:rsidP="00E055C5">
      <w:pPr>
        <w:spacing w:after="0"/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>DATE:</w:t>
      </w:r>
      <w:r w:rsidRPr="00C34F94">
        <w:rPr>
          <w:rFonts w:ascii="Trebuchet MS" w:hAnsi="Trebuchet MS" w:cs="Times New Roman"/>
          <w:sz w:val="24"/>
          <w:szCs w:val="24"/>
        </w:rPr>
        <w:tab/>
      </w:r>
      <w:r w:rsidRPr="00C34F94">
        <w:rPr>
          <w:rFonts w:ascii="Trebuchet MS" w:hAnsi="Trebuchet MS" w:cs="Times New Roman"/>
          <w:sz w:val="24"/>
          <w:szCs w:val="24"/>
        </w:rPr>
        <w:tab/>
      </w:r>
      <w:r w:rsidR="00C103FF">
        <w:rPr>
          <w:rFonts w:ascii="Trebuchet MS" w:hAnsi="Trebuchet MS" w:cs="Times New Roman"/>
          <w:sz w:val="24"/>
          <w:szCs w:val="24"/>
        </w:rPr>
        <w:t xml:space="preserve">May </w:t>
      </w:r>
      <w:r w:rsidR="00AD05C7">
        <w:rPr>
          <w:rFonts w:ascii="Trebuchet MS" w:hAnsi="Trebuchet MS" w:cs="Times New Roman"/>
          <w:sz w:val="24"/>
          <w:szCs w:val="24"/>
        </w:rPr>
        <w:t>7</w:t>
      </w:r>
      <w:r w:rsidR="00E7440A" w:rsidRPr="00C34F94">
        <w:rPr>
          <w:rFonts w:ascii="Trebuchet MS" w:hAnsi="Trebuchet MS" w:cs="Times New Roman"/>
          <w:sz w:val="24"/>
          <w:szCs w:val="24"/>
        </w:rPr>
        <w:t>, 202</w:t>
      </w:r>
      <w:r w:rsidR="00C103FF">
        <w:rPr>
          <w:rFonts w:ascii="Trebuchet MS" w:hAnsi="Trebuchet MS" w:cs="Times New Roman"/>
          <w:sz w:val="24"/>
          <w:szCs w:val="24"/>
        </w:rPr>
        <w:t>5</w:t>
      </w:r>
    </w:p>
    <w:p w14:paraId="48AF5756" w14:textId="07B065F8" w:rsidR="00B37EDA" w:rsidRPr="00C34F94" w:rsidRDefault="00B37EDA" w:rsidP="00E055C5">
      <w:pPr>
        <w:spacing w:after="0"/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 xml:space="preserve">TO: </w:t>
      </w:r>
      <w:r w:rsidRPr="00C34F94">
        <w:rPr>
          <w:rFonts w:ascii="Trebuchet MS" w:hAnsi="Trebuchet MS" w:cs="Times New Roman"/>
          <w:sz w:val="24"/>
          <w:szCs w:val="24"/>
        </w:rPr>
        <w:tab/>
      </w:r>
      <w:r w:rsidRPr="00C34F94">
        <w:rPr>
          <w:rFonts w:ascii="Trebuchet MS" w:hAnsi="Trebuchet MS" w:cs="Times New Roman"/>
          <w:sz w:val="24"/>
          <w:szCs w:val="24"/>
        </w:rPr>
        <w:tab/>
        <w:t>Writers and Users of Special Provisions</w:t>
      </w:r>
    </w:p>
    <w:p w14:paraId="34C6AF1C" w14:textId="6C7DAAFD" w:rsidR="00B37EDA" w:rsidRPr="00C34F94" w:rsidRDefault="00B37EDA" w:rsidP="00E055C5">
      <w:pPr>
        <w:spacing w:after="0"/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 xml:space="preserve">FROM: </w:t>
      </w:r>
      <w:r w:rsidRPr="00C34F94">
        <w:rPr>
          <w:rFonts w:ascii="Trebuchet MS" w:hAnsi="Trebuchet MS" w:cs="Times New Roman"/>
          <w:sz w:val="24"/>
          <w:szCs w:val="24"/>
        </w:rPr>
        <w:tab/>
      </w:r>
      <w:r w:rsidR="008C6DF1" w:rsidRPr="00C34F94">
        <w:rPr>
          <w:rFonts w:ascii="Trebuchet MS" w:hAnsi="Trebuchet MS" w:cs="Times New Roman"/>
          <w:sz w:val="24"/>
          <w:szCs w:val="24"/>
        </w:rPr>
        <w:t>Michele Kayen</w:t>
      </w:r>
      <w:r w:rsidRPr="00C34F94">
        <w:rPr>
          <w:rFonts w:ascii="Trebuchet MS" w:hAnsi="Trebuchet MS" w:cs="Times New Roman"/>
          <w:sz w:val="24"/>
          <w:szCs w:val="24"/>
        </w:rPr>
        <w:t xml:space="preserve">, Specifications </w:t>
      </w:r>
      <w:r w:rsidR="008C6DF1" w:rsidRPr="00C34F94">
        <w:rPr>
          <w:rFonts w:ascii="Trebuchet MS" w:hAnsi="Trebuchet MS" w:cs="Times New Roman"/>
          <w:sz w:val="24"/>
          <w:szCs w:val="24"/>
        </w:rPr>
        <w:t>Engineer</w:t>
      </w:r>
    </w:p>
    <w:p w14:paraId="45388F93" w14:textId="1F7FEE71" w:rsidR="00B37EDA" w:rsidRPr="00C34F94" w:rsidRDefault="00B37EDA" w:rsidP="00E055C5">
      <w:pPr>
        <w:spacing w:after="0"/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>SUBJECT:</w:t>
      </w:r>
      <w:r w:rsidRPr="00C34F94">
        <w:rPr>
          <w:rFonts w:ascii="Trebuchet MS" w:hAnsi="Trebuchet MS" w:cs="Times New Roman"/>
          <w:sz w:val="24"/>
          <w:szCs w:val="24"/>
        </w:rPr>
        <w:tab/>
        <w:t>Use of Special Provisions with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Standard Specifications book</w:t>
      </w:r>
    </w:p>
    <w:p w14:paraId="25E8E268" w14:textId="77777777" w:rsidR="00B37EDA" w:rsidRPr="00C34F94" w:rsidRDefault="00B37EDA" w:rsidP="00E055C5">
      <w:pPr>
        <w:spacing w:after="0"/>
        <w:rPr>
          <w:rFonts w:ascii="Trebuchet MS" w:hAnsi="Trebuchet MS" w:cs="Times New Roman"/>
          <w:sz w:val="24"/>
          <w:szCs w:val="24"/>
        </w:rPr>
      </w:pPr>
    </w:p>
    <w:p w14:paraId="724267C0" w14:textId="1B5801DF" w:rsidR="00B37EDA" w:rsidRPr="00C34F94" w:rsidRDefault="00C103FF" w:rsidP="00E055C5">
      <w:pPr>
        <w:spacing w:after="0"/>
        <w:rPr>
          <w:rFonts w:ascii="Trebuchet MS" w:hAnsi="Trebuchet MS" w:cs="Times New Roman"/>
          <w:b/>
          <w:sz w:val="24"/>
          <w:szCs w:val="24"/>
        </w:rPr>
      </w:pPr>
      <w:r w:rsidRPr="00C34F94">
        <w:rPr>
          <w:rFonts w:ascii="Trebuchet MS" w:hAnsi="Trebuchet MS" w:cs="Times New Roman"/>
          <w:b/>
          <w:sz w:val="24"/>
          <w:szCs w:val="24"/>
        </w:rPr>
        <w:t>Standard Special Provisions</w:t>
      </w:r>
    </w:p>
    <w:p w14:paraId="789324E3" w14:textId="02A770D9" w:rsidR="00B37EDA" w:rsidRPr="00C34F94" w:rsidRDefault="00B37EDA" w:rsidP="00B37EDA">
      <w:p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 xml:space="preserve">The standard special provisions listed on the attached index, all dated </w:t>
      </w:r>
      <w:r w:rsidR="00C103FF">
        <w:rPr>
          <w:rFonts w:ascii="Trebuchet MS" w:hAnsi="Trebuchet MS" w:cs="Times New Roman"/>
          <w:sz w:val="24"/>
          <w:szCs w:val="24"/>
        </w:rPr>
        <w:t xml:space="preserve">July </w:t>
      </w:r>
      <w:r w:rsidRPr="00C34F94">
        <w:rPr>
          <w:rFonts w:ascii="Trebuchet MS" w:hAnsi="Trebuchet MS" w:cs="Times New Roman"/>
          <w:sz w:val="24"/>
          <w:szCs w:val="24"/>
        </w:rPr>
        <w:t>1, 202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>, have been issued for use with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edition of the </w:t>
      </w:r>
      <w:r w:rsidRPr="00654999">
        <w:rPr>
          <w:rFonts w:ascii="Trebuchet MS" w:hAnsi="Trebuchet MS" w:cs="Times New Roman"/>
          <w:i/>
          <w:iCs/>
          <w:sz w:val="24"/>
          <w:szCs w:val="24"/>
        </w:rPr>
        <w:t>Standard Specifications for Road and Bridge Construction</w:t>
      </w:r>
      <w:r w:rsidRPr="00C34F94">
        <w:rPr>
          <w:rFonts w:ascii="Trebuchet MS" w:hAnsi="Trebuchet MS" w:cs="Times New Roman"/>
          <w:sz w:val="24"/>
          <w:szCs w:val="24"/>
        </w:rPr>
        <w:t>.  Use the standard special provisions according to the instructions on the index.</w:t>
      </w:r>
    </w:p>
    <w:p w14:paraId="3FFB0749" w14:textId="77777777" w:rsidR="00B37EDA" w:rsidRPr="00C34F94" w:rsidRDefault="00B37EDA" w:rsidP="00B37EDA">
      <w:p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>Copies of the standard special provisions may be printed or downloaded from the Construction Specifications page of CDOT’s website.</w:t>
      </w:r>
    </w:p>
    <w:p w14:paraId="1C5347E0" w14:textId="71DAC8F1" w:rsidR="00B37EDA" w:rsidRPr="00C34F94" w:rsidRDefault="00C103FF" w:rsidP="00B37EDA">
      <w:pPr>
        <w:rPr>
          <w:rFonts w:ascii="Trebuchet MS" w:hAnsi="Trebuchet MS" w:cs="Times New Roman"/>
          <w:b/>
          <w:sz w:val="24"/>
          <w:szCs w:val="24"/>
        </w:rPr>
      </w:pPr>
      <w:r w:rsidRPr="00C34F94">
        <w:rPr>
          <w:rFonts w:ascii="Trebuchet MS" w:hAnsi="Trebuchet MS" w:cs="Times New Roman"/>
          <w:b/>
          <w:sz w:val="24"/>
          <w:szCs w:val="24"/>
        </w:rPr>
        <w:t>Project Special Provisions</w:t>
      </w:r>
    </w:p>
    <w:p w14:paraId="41F9135F" w14:textId="109B8F06" w:rsidR="00B37EDA" w:rsidRPr="00C34F94" w:rsidRDefault="00B37EDA" w:rsidP="00B37EDA">
      <w:p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>Project special provisions that worked with the 20</w:t>
      </w:r>
      <w:r w:rsidR="00E7440A" w:rsidRPr="00C34F94">
        <w:rPr>
          <w:rFonts w:ascii="Trebuchet MS" w:hAnsi="Trebuchet MS" w:cs="Times New Roman"/>
          <w:sz w:val="24"/>
          <w:szCs w:val="24"/>
        </w:rPr>
        <w:t>2</w:t>
      </w:r>
      <w:r w:rsidR="00C103FF">
        <w:rPr>
          <w:rFonts w:ascii="Trebuchet MS" w:hAnsi="Trebuchet MS" w:cs="Times New Roman"/>
          <w:sz w:val="24"/>
          <w:szCs w:val="24"/>
        </w:rPr>
        <w:t>3</w:t>
      </w:r>
      <w:r w:rsidRPr="00C34F94">
        <w:rPr>
          <w:rFonts w:ascii="Trebuchet MS" w:hAnsi="Trebuchet MS" w:cs="Times New Roman"/>
          <w:sz w:val="24"/>
          <w:szCs w:val="24"/>
        </w:rPr>
        <w:t xml:space="preserve"> Specification Book may not work with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Specification Book.  In some cases, all or part of the revisions in the project special provision may have been incorporated into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Specification Book.  In other </w:t>
      </w:r>
      <w:r w:rsidR="00E7440A" w:rsidRPr="00C34F94">
        <w:rPr>
          <w:rFonts w:ascii="Trebuchet MS" w:hAnsi="Trebuchet MS" w:cs="Times New Roman"/>
          <w:sz w:val="24"/>
          <w:szCs w:val="24"/>
        </w:rPr>
        <w:t>cases,</w:t>
      </w:r>
      <w:r w:rsidRPr="00C34F94">
        <w:rPr>
          <w:rFonts w:ascii="Trebuchet MS" w:hAnsi="Trebuchet MS" w:cs="Times New Roman"/>
          <w:sz w:val="24"/>
          <w:szCs w:val="24"/>
        </w:rPr>
        <w:t xml:space="preserve"> subsection numbers have changed due to added provisions.  Before using </w:t>
      </w:r>
      <w:proofErr w:type="gramStart"/>
      <w:r w:rsidRPr="00C34F94">
        <w:rPr>
          <w:rFonts w:ascii="Trebuchet MS" w:hAnsi="Trebuchet MS" w:cs="Times New Roman"/>
          <w:sz w:val="24"/>
          <w:szCs w:val="24"/>
        </w:rPr>
        <w:t>old</w:t>
      </w:r>
      <w:proofErr w:type="gramEnd"/>
      <w:r w:rsidRPr="00C34F94">
        <w:rPr>
          <w:rFonts w:ascii="Trebuchet MS" w:hAnsi="Trebuchet MS" w:cs="Times New Roman"/>
          <w:sz w:val="24"/>
          <w:szCs w:val="24"/>
        </w:rPr>
        <w:t xml:space="preserve"> project special provisions with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Specification Book, compare them with the book.  Make sure they are still </w:t>
      </w:r>
      <w:r w:rsidR="00A145E7" w:rsidRPr="00C34F94">
        <w:rPr>
          <w:rFonts w:ascii="Trebuchet MS" w:hAnsi="Trebuchet MS" w:cs="Times New Roman"/>
          <w:sz w:val="24"/>
          <w:szCs w:val="24"/>
        </w:rPr>
        <w:t>needed,</w:t>
      </w:r>
      <w:r w:rsidRPr="00C34F94">
        <w:rPr>
          <w:rFonts w:ascii="Trebuchet MS" w:hAnsi="Trebuchet MS" w:cs="Times New Roman"/>
          <w:sz w:val="24"/>
          <w:szCs w:val="24"/>
        </w:rPr>
        <w:t xml:space="preserve"> and they modify the correct subsections.  </w:t>
      </w:r>
      <w:r w:rsidR="00A145E7" w:rsidRPr="00C34F94">
        <w:rPr>
          <w:rFonts w:ascii="Trebuchet MS" w:hAnsi="Trebuchet MS" w:cs="Times New Roman"/>
          <w:sz w:val="24"/>
          <w:szCs w:val="24"/>
        </w:rPr>
        <w:t>People</w:t>
      </w:r>
      <w:r w:rsidRPr="00C34F94">
        <w:rPr>
          <w:rFonts w:ascii="Trebuchet MS" w:hAnsi="Trebuchet MS" w:cs="Times New Roman"/>
          <w:sz w:val="24"/>
          <w:szCs w:val="24"/>
        </w:rPr>
        <w:t xml:space="preserve"> that maintain </w:t>
      </w:r>
      <w:proofErr w:type="gramStart"/>
      <w:r w:rsidRPr="00C34F94">
        <w:rPr>
          <w:rFonts w:ascii="Trebuchet MS" w:hAnsi="Trebuchet MS" w:cs="Times New Roman"/>
          <w:sz w:val="24"/>
          <w:szCs w:val="24"/>
        </w:rPr>
        <w:t>project special</w:t>
      </w:r>
      <w:proofErr w:type="gramEnd"/>
      <w:r w:rsidRPr="00C34F94">
        <w:rPr>
          <w:rFonts w:ascii="Trebuchet MS" w:hAnsi="Trebuchet MS" w:cs="Times New Roman"/>
          <w:sz w:val="24"/>
          <w:szCs w:val="24"/>
        </w:rPr>
        <w:t xml:space="preserve"> provisions for their organization to disseminate for use on appropriate projects should check them and revise them as necessary for use with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Specification Book.</w:t>
      </w:r>
    </w:p>
    <w:p w14:paraId="0B6909CB" w14:textId="2650D0BB" w:rsidR="00B37EDA" w:rsidRPr="00C34F94" w:rsidRDefault="00B37EDA" w:rsidP="00B37EDA">
      <w:p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>Sample project special provisions and worksheets for the project special provisions that are compatible with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Spec Book common to most projects can be found on the Construction Specifications page of CDOT’s website.</w:t>
      </w:r>
    </w:p>
    <w:p w14:paraId="57A961E6" w14:textId="0DC7D800" w:rsidR="00B37EDA" w:rsidRPr="00C34F94" w:rsidRDefault="00C103FF" w:rsidP="00B37EDA">
      <w:p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b/>
          <w:sz w:val="24"/>
          <w:szCs w:val="24"/>
        </w:rPr>
        <w:t>Important Reminders</w:t>
      </w:r>
      <w:r w:rsidRPr="00C34F94">
        <w:rPr>
          <w:rFonts w:ascii="Trebuchet MS" w:hAnsi="Trebuchet MS" w:cs="Times New Roman"/>
          <w:sz w:val="24"/>
          <w:szCs w:val="24"/>
        </w:rPr>
        <w:t>:</w:t>
      </w:r>
    </w:p>
    <w:p w14:paraId="181D9464" w14:textId="77777777" w:rsidR="00B37EDA" w:rsidRPr="00C34F94" w:rsidRDefault="00B37EDA" w:rsidP="00B37EDA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>All new or revised project special provisions should be reviewed by the Standards and Specifications Unit before use.  Contact Michele Kayen [303-757-9402] for assistance.</w:t>
      </w:r>
    </w:p>
    <w:p w14:paraId="41D28004" w14:textId="72171975" w:rsidR="00B37EDA" w:rsidRDefault="00B37EDA" w:rsidP="00B37EDA">
      <w:pPr>
        <w:pStyle w:val="ListParagraph"/>
        <w:numPr>
          <w:ilvl w:val="0"/>
          <w:numId w:val="1"/>
        </w:numPr>
        <w:rPr>
          <w:rFonts w:ascii="Trebuchet MS" w:hAnsi="Trebuchet MS" w:cs="Times New Roman"/>
          <w:sz w:val="24"/>
          <w:szCs w:val="24"/>
        </w:rPr>
      </w:pPr>
      <w:r w:rsidRPr="00C34F94">
        <w:rPr>
          <w:rFonts w:ascii="Trebuchet MS" w:hAnsi="Trebuchet MS" w:cs="Times New Roman"/>
          <w:sz w:val="24"/>
          <w:szCs w:val="24"/>
        </w:rPr>
        <w:t xml:space="preserve">The </w:t>
      </w:r>
      <w:r w:rsidR="00654999">
        <w:rPr>
          <w:rFonts w:ascii="Trebuchet MS" w:hAnsi="Trebuchet MS" w:cs="Times New Roman"/>
          <w:sz w:val="24"/>
          <w:szCs w:val="24"/>
        </w:rPr>
        <w:t xml:space="preserve">Colorado </w:t>
      </w:r>
      <w:r w:rsidRPr="00C34F94">
        <w:rPr>
          <w:rFonts w:ascii="Trebuchet MS" w:hAnsi="Trebuchet MS" w:cs="Times New Roman"/>
          <w:sz w:val="24"/>
          <w:szCs w:val="24"/>
        </w:rPr>
        <w:t>Department of Transportation will begin use of the 202</w:t>
      </w:r>
      <w:r w:rsidR="00C103FF">
        <w:rPr>
          <w:rFonts w:ascii="Trebuchet MS" w:hAnsi="Trebuchet MS" w:cs="Times New Roman"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 xml:space="preserve"> edition on all projects advertised for bids </w:t>
      </w:r>
      <w:r w:rsidR="00654999">
        <w:rPr>
          <w:rFonts w:ascii="Trebuchet MS" w:hAnsi="Trebuchet MS" w:cs="Times New Roman"/>
          <w:sz w:val="24"/>
          <w:szCs w:val="24"/>
        </w:rPr>
        <w:t>effective</w:t>
      </w:r>
      <w:r w:rsidRPr="00C34F94">
        <w:rPr>
          <w:rFonts w:ascii="Trebuchet MS" w:hAnsi="Trebuchet MS" w:cs="Times New Roman"/>
          <w:sz w:val="24"/>
          <w:szCs w:val="24"/>
        </w:rPr>
        <w:t xml:space="preserve"> </w:t>
      </w:r>
      <w:r w:rsidR="00C103FF">
        <w:rPr>
          <w:rFonts w:ascii="Trebuchet MS" w:hAnsi="Trebuchet MS" w:cs="Times New Roman"/>
          <w:b/>
          <w:sz w:val="24"/>
          <w:szCs w:val="24"/>
        </w:rPr>
        <w:t xml:space="preserve">July </w:t>
      </w:r>
      <w:r w:rsidRPr="00C34F94">
        <w:rPr>
          <w:rFonts w:ascii="Trebuchet MS" w:hAnsi="Trebuchet MS" w:cs="Times New Roman"/>
          <w:b/>
          <w:sz w:val="24"/>
          <w:szCs w:val="24"/>
        </w:rPr>
        <w:t>1, 202</w:t>
      </w:r>
      <w:r w:rsidR="00C103FF">
        <w:rPr>
          <w:rFonts w:ascii="Trebuchet MS" w:hAnsi="Trebuchet MS" w:cs="Times New Roman"/>
          <w:b/>
          <w:sz w:val="24"/>
          <w:szCs w:val="24"/>
        </w:rPr>
        <w:t>5</w:t>
      </w:r>
      <w:r w:rsidRPr="00C34F94">
        <w:rPr>
          <w:rFonts w:ascii="Trebuchet MS" w:hAnsi="Trebuchet MS" w:cs="Times New Roman"/>
          <w:sz w:val="24"/>
          <w:szCs w:val="24"/>
        </w:rPr>
        <w:t>.  The PDF is available now online.</w:t>
      </w:r>
    </w:p>
    <w:p w14:paraId="3CCF6559" w14:textId="3B763F82" w:rsidR="00C103FF" w:rsidRPr="00C103FF" w:rsidRDefault="00C103FF" w:rsidP="00C103FF">
      <w:pPr>
        <w:pStyle w:val="ListParagraph"/>
        <w:numPr>
          <w:ilvl w:val="0"/>
          <w:numId w:val="1"/>
        </w:numPr>
        <w:rPr>
          <w:rFonts w:ascii="Trebuchet MS" w:hAnsi="Trebuchet MS" w:cs="Times New Roman"/>
          <w:b/>
          <w:bCs/>
          <w:sz w:val="24"/>
          <w:szCs w:val="24"/>
        </w:rPr>
      </w:pPr>
      <w:r w:rsidRPr="00C103FF">
        <w:rPr>
          <w:rFonts w:ascii="Trebuchet MS" w:hAnsi="Trebuchet MS" w:cs="Times New Roman"/>
          <w:b/>
          <w:bCs/>
          <w:sz w:val="24"/>
          <w:szCs w:val="24"/>
        </w:rPr>
        <w:t xml:space="preserve">Please be aware, with the 2025 edition, </w:t>
      </w:r>
      <w:r w:rsidR="00654999">
        <w:rPr>
          <w:rFonts w:ascii="Trebuchet MS" w:hAnsi="Trebuchet MS" w:cs="Times New Roman"/>
          <w:b/>
          <w:bCs/>
          <w:sz w:val="24"/>
          <w:szCs w:val="24"/>
        </w:rPr>
        <w:t>the Book</w:t>
      </w:r>
      <w:r w:rsidRPr="00C103FF">
        <w:rPr>
          <w:rFonts w:ascii="Trebuchet MS" w:hAnsi="Trebuchet MS" w:cs="Times New Roman"/>
          <w:b/>
          <w:bCs/>
          <w:sz w:val="24"/>
          <w:szCs w:val="24"/>
        </w:rPr>
        <w:t xml:space="preserve"> is completely digital.  This branch will no longer print copies. </w:t>
      </w:r>
    </w:p>
    <w:p w14:paraId="4386026E" w14:textId="77777777" w:rsidR="008C6DF1" w:rsidRPr="00C34F94" w:rsidRDefault="008C6DF1" w:rsidP="008C6DF1">
      <w:pPr>
        <w:pStyle w:val="ListParagraph"/>
        <w:rPr>
          <w:rFonts w:ascii="Trebuchet MS" w:hAnsi="Trebuchet MS" w:cs="Times New Roman"/>
          <w:sz w:val="24"/>
          <w:szCs w:val="24"/>
        </w:rPr>
      </w:pPr>
    </w:p>
    <w:p w14:paraId="0717FBCC" w14:textId="21313CFF" w:rsidR="00B37EDA" w:rsidRDefault="00C103FF" w:rsidP="00B37EDA">
      <w:r w:rsidRPr="00C34F94">
        <w:rPr>
          <w:rFonts w:ascii="Trebuchet MS" w:hAnsi="Trebuchet MS" w:cs="Times New Roman"/>
          <w:b/>
          <w:sz w:val="24"/>
          <w:szCs w:val="24"/>
        </w:rPr>
        <w:lastRenderedPageBreak/>
        <w:t xml:space="preserve">Construction Specifications </w:t>
      </w:r>
      <w:r w:rsidR="00431D87">
        <w:rPr>
          <w:rFonts w:ascii="Trebuchet MS" w:hAnsi="Trebuchet MS" w:cs="Times New Roman"/>
          <w:b/>
          <w:sz w:val="24"/>
          <w:szCs w:val="24"/>
        </w:rPr>
        <w:t>p</w:t>
      </w:r>
      <w:r w:rsidRPr="00C34F94">
        <w:rPr>
          <w:rFonts w:ascii="Trebuchet MS" w:hAnsi="Trebuchet MS" w:cs="Times New Roman"/>
          <w:b/>
          <w:sz w:val="24"/>
          <w:szCs w:val="24"/>
        </w:rPr>
        <w:t xml:space="preserve">age </w:t>
      </w:r>
      <w:r w:rsidR="00431D87">
        <w:rPr>
          <w:rFonts w:ascii="Trebuchet MS" w:hAnsi="Trebuchet MS" w:cs="Times New Roman"/>
          <w:b/>
          <w:sz w:val="24"/>
          <w:szCs w:val="24"/>
        </w:rPr>
        <w:t>o</w:t>
      </w:r>
      <w:r w:rsidRPr="00C34F94">
        <w:rPr>
          <w:rFonts w:ascii="Trebuchet MS" w:hAnsi="Trebuchet MS" w:cs="Times New Roman"/>
          <w:b/>
          <w:sz w:val="24"/>
          <w:szCs w:val="24"/>
        </w:rPr>
        <w:t>f C</w:t>
      </w:r>
      <w:r w:rsidR="00654999">
        <w:rPr>
          <w:rFonts w:ascii="Trebuchet MS" w:hAnsi="Trebuchet MS" w:cs="Times New Roman"/>
          <w:b/>
          <w:sz w:val="24"/>
          <w:szCs w:val="24"/>
        </w:rPr>
        <w:t>DOT</w:t>
      </w:r>
      <w:r w:rsidRPr="00C34F94">
        <w:rPr>
          <w:rFonts w:ascii="Trebuchet MS" w:hAnsi="Trebuchet MS" w:cs="Times New Roman"/>
          <w:b/>
          <w:sz w:val="24"/>
          <w:szCs w:val="24"/>
        </w:rPr>
        <w:t xml:space="preserve">s Website:  </w:t>
      </w:r>
      <w:hyperlink r:id="rId7" w:history="1">
        <w:r w:rsidR="00431D87" w:rsidRPr="00554A15">
          <w:rPr>
            <w:rStyle w:val="Hyperlink"/>
          </w:rPr>
          <w:t>https://www.codot.gov/business/designsupport/cdot-construction-specifications/2025-construction-specifications</w:t>
        </w:r>
      </w:hyperlink>
    </w:p>
    <w:p w14:paraId="000A6F90" w14:textId="77777777" w:rsidR="00431D87" w:rsidRPr="00C34F94" w:rsidRDefault="00431D87" w:rsidP="00B37EDA">
      <w:pPr>
        <w:rPr>
          <w:rFonts w:ascii="Trebuchet MS" w:hAnsi="Trebuchet MS"/>
          <w:sz w:val="24"/>
          <w:szCs w:val="24"/>
        </w:rPr>
      </w:pPr>
    </w:p>
    <w:p w14:paraId="3E237FAD" w14:textId="77777777" w:rsidR="001110BD" w:rsidRDefault="001110BD"/>
    <w:sectPr w:rsidR="001110BD" w:rsidSect="009B758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D179D"/>
    <w:multiLevelType w:val="hybridMultilevel"/>
    <w:tmpl w:val="3FA8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BD"/>
    <w:rsid w:val="00080B74"/>
    <w:rsid w:val="00082BF2"/>
    <w:rsid w:val="001110BD"/>
    <w:rsid w:val="00315C00"/>
    <w:rsid w:val="00431D87"/>
    <w:rsid w:val="00472424"/>
    <w:rsid w:val="00492A0B"/>
    <w:rsid w:val="004A0F88"/>
    <w:rsid w:val="004F0CB4"/>
    <w:rsid w:val="00511B93"/>
    <w:rsid w:val="00536116"/>
    <w:rsid w:val="005A40BC"/>
    <w:rsid w:val="00654999"/>
    <w:rsid w:val="008B106C"/>
    <w:rsid w:val="008C6DF1"/>
    <w:rsid w:val="009B758B"/>
    <w:rsid w:val="00A145E7"/>
    <w:rsid w:val="00A814A8"/>
    <w:rsid w:val="00AD05C7"/>
    <w:rsid w:val="00B06AB2"/>
    <w:rsid w:val="00B072FC"/>
    <w:rsid w:val="00B37EDA"/>
    <w:rsid w:val="00B4097A"/>
    <w:rsid w:val="00BF14A6"/>
    <w:rsid w:val="00C103FF"/>
    <w:rsid w:val="00C34F94"/>
    <w:rsid w:val="00D244E2"/>
    <w:rsid w:val="00E055C5"/>
    <w:rsid w:val="00E337E9"/>
    <w:rsid w:val="00E7440A"/>
    <w:rsid w:val="00EF1C28"/>
    <w:rsid w:val="00F44606"/>
    <w:rsid w:val="00F57E9B"/>
    <w:rsid w:val="00F708F1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04B5"/>
  <w15:chartTrackingRefBased/>
  <w15:docId w15:val="{53CCF3AA-D573-44E6-A0B2-193B356C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1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10BD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758B"/>
    <w:rPr>
      <w:color w:val="0000FF"/>
      <w:u w:val="single"/>
    </w:rPr>
  </w:style>
  <w:style w:type="character" w:customStyle="1" w:styleId="gmaildefault">
    <w:name w:val="gmail_default"/>
    <w:basedOn w:val="DefaultParagraphFont"/>
    <w:rsid w:val="00EF1C28"/>
  </w:style>
  <w:style w:type="paragraph" w:styleId="ListParagraph">
    <w:name w:val="List Paragraph"/>
    <w:basedOn w:val="Normal"/>
    <w:uiPriority w:val="34"/>
    <w:qFormat/>
    <w:rsid w:val="00B37E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dot.gov/business/designsupport/cdot-construction-specifications/2025-construction-specif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10</cp:revision>
  <dcterms:created xsi:type="dcterms:W3CDTF">2023-07-18T18:08:00Z</dcterms:created>
  <dcterms:modified xsi:type="dcterms:W3CDTF">2025-05-08T15:25:00Z</dcterms:modified>
</cp:coreProperties>
</file>