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875F2" w14:textId="5B7DABCC" w:rsidR="00564BD8" w:rsidRDefault="00564BD8" w:rsidP="00564BD8">
      <w:pPr>
        <w:jc w:val="center"/>
        <w:rPr>
          <w:rFonts w:ascii="Trebuchet MS" w:eastAsia="Trebuchet MS" w:hAnsi="Trebuchet MS" w:cs="Trebuchet MS"/>
          <w:b/>
          <w:sz w:val="40"/>
          <w:szCs w:val="40"/>
        </w:rPr>
      </w:pPr>
      <w:r>
        <w:rPr>
          <w:rFonts w:ascii="Trebuchet MS" w:eastAsia="Trebuchet MS" w:hAnsi="Trebuchet MS" w:cs="Trebuchet MS"/>
          <w:b/>
          <w:sz w:val="40"/>
          <w:szCs w:val="40"/>
        </w:rPr>
        <w:t>Notice</w:t>
      </w:r>
    </w:p>
    <w:p w14:paraId="4411A593" w14:textId="77777777" w:rsidR="00564BD8" w:rsidRDefault="00564BD8" w:rsidP="00564BD8">
      <w:pPr>
        <w:rPr>
          <w:sz w:val="28"/>
          <w:szCs w:val="28"/>
        </w:rPr>
      </w:pPr>
    </w:p>
    <w:p w14:paraId="7409C37A" w14:textId="77777777" w:rsidR="00564BD8" w:rsidRDefault="00564BD8" w:rsidP="00564BD8">
      <w:pPr>
        <w:pBdr>
          <w:top w:val="nil"/>
          <w:left w:val="nil"/>
          <w:bottom w:val="nil"/>
          <w:right w:val="nil"/>
          <w:between w:val="nil"/>
        </w:pBdr>
        <w:spacing w:after="0" w:line="240" w:lineRule="auto"/>
        <w:ind w:left="360"/>
        <w:rPr>
          <w:rFonts w:ascii="Trebuchet MS" w:eastAsia="Trebuchet MS" w:hAnsi="Trebuchet MS" w:cs="Trebuchet MS"/>
          <w:color w:val="0E101A"/>
          <w:sz w:val="28"/>
          <w:szCs w:val="28"/>
        </w:rPr>
      </w:pPr>
      <w:bookmarkStart w:id="0" w:name="_x8nsfw9yn3xk" w:colFirst="0" w:colLast="0"/>
      <w:bookmarkEnd w:id="0"/>
      <w:r>
        <w:rPr>
          <w:rFonts w:ascii="Trebuchet MS" w:eastAsia="Trebuchet MS" w:hAnsi="Trebuchet MS" w:cs="Trebuchet MS"/>
          <w:color w:val="0E101A"/>
          <w:sz w:val="28"/>
          <w:szCs w:val="28"/>
        </w:rPr>
        <w:t>The Standard Special Provision (SSP) on the following page revises or modifies CDOT’s</w:t>
      </w:r>
      <w:r>
        <w:rPr>
          <w:rFonts w:ascii="Trebuchet MS" w:eastAsia="Trebuchet MS" w:hAnsi="Trebuchet MS" w:cs="Trebuchet MS"/>
          <w:i/>
          <w:color w:val="0E101A"/>
          <w:sz w:val="28"/>
          <w:szCs w:val="28"/>
        </w:rPr>
        <w:t xml:space="preserve"> Standard Specifications for Road and Bridge Construction. </w:t>
      </w:r>
      <w:r>
        <w:rPr>
          <w:rFonts w:ascii="Trebuchet MS" w:eastAsia="Trebuchet MS" w:hAnsi="Trebuchet MS" w:cs="Trebuchet MS"/>
          <w:color w:val="0E101A"/>
          <w:sz w:val="28"/>
          <w:szCs w:val="28"/>
        </w:rPr>
        <w:t>The Construction Engineering Services Branch has reviewed, approved, and issued it. Use as written without change. Do not use modified versions of it on CDOT construction projects. Do not use the following special provision on CDOT projects in a manner other than specified in the instructions without approval by CDOT’s Standards and Specifications Unit. The instructions for use appear below.</w:t>
      </w:r>
    </w:p>
    <w:p w14:paraId="359D1FAC" w14:textId="77777777" w:rsidR="00564BD8" w:rsidRDefault="00564BD8" w:rsidP="00564BD8">
      <w:pPr>
        <w:pBdr>
          <w:top w:val="nil"/>
          <w:left w:val="nil"/>
          <w:bottom w:val="nil"/>
          <w:right w:val="nil"/>
          <w:between w:val="nil"/>
        </w:pBdr>
        <w:spacing w:after="0" w:line="240" w:lineRule="auto"/>
        <w:ind w:left="360"/>
        <w:rPr>
          <w:rFonts w:ascii="Trebuchet MS" w:eastAsia="Trebuchet MS" w:hAnsi="Trebuchet MS" w:cs="Trebuchet MS"/>
          <w:color w:val="0E101A"/>
          <w:sz w:val="28"/>
          <w:szCs w:val="28"/>
        </w:rPr>
      </w:pPr>
    </w:p>
    <w:p w14:paraId="67D4E92A" w14:textId="77777777" w:rsidR="00564BD8" w:rsidRDefault="00564BD8" w:rsidP="00564BD8">
      <w:pPr>
        <w:pBdr>
          <w:top w:val="nil"/>
          <w:left w:val="nil"/>
          <w:bottom w:val="nil"/>
          <w:right w:val="nil"/>
          <w:between w:val="nil"/>
        </w:pBdr>
        <w:spacing w:after="0" w:line="240" w:lineRule="auto"/>
        <w:ind w:left="360"/>
        <w:rPr>
          <w:rFonts w:ascii="Trebuchet MS" w:eastAsia="Trebuchet MS" w:hAnsi="Trebuchet MS" w:cs="Trebuchet MS"/>
          <w:color w:val="0E101A"/>
          <w:sz w:val="28"/>
          <w:szCs w:val="28"/>
        </w:rPr>
      </w:pPr>
      <w:r>
        <w:rPr>
          <w:rFonts w:ascii="Trebuchet MS" w:eastAsia="Trebuchet MS" w:hAnsi="Trebuchet MS" w:cs="Trebuchet MS"/>
          <w:color w:val="0E101A"/>
          <w:sz w:val="28"/>
          <w:szCs w:val="28"/>
        </w:rPr>
        <w:t>Other agencies using the </w:t>
      </w:r>
      <w:r>
        <w:rPr>
          <w:rFonts w:ascii="Trebuchet MS" w:eastAsia="Trebuchet MS" w:hAnsi="Trebuchet MS" w:cs="Trebuchet MS"/>
          <w:i/>
          <w:color w:val="0E101A"/>
          <w:sz w:val="28"/>
          <w:szCs w:val="28"/>
        </w:rPr>
        <w:t>Standard Specifications for Road and Bridge Construction </w:t>
      </w:r>
      <w:r>
        <w:rPr>
          <w:rFonts w:ascii="Trebuchet MS" w:eastAsia="Trebuchet MS" w:hAnsi="Trebuchet MS" w:cs="Trebuchet MS"/>
          <w:color w:val="0E101A"/>
          <w:sz w:val="28"/>
          <w:szCs w:val="28"/>
        </w:rPr>
        <w:t>to administer construction projects may use this special provision appropriately and at their own risk.</w:t>
      </w:r>
    </w:p>
    <w:p w14:paraId="6E01EEBC" w14:textId="77777777" w:rsidR="00564BD8" w:rsidRDefault="00564BD8" w:rsidP="00564BD8">
      <w:pPr>
        <w:ind w:left="360"/>
        <w:rPr>
          <w:sz w:val="28"/>
          <w:szCs w:val="28"/>
        </w:rPr>
      </w:pPr>
    </w:p>
    <w:p w14:paraId="5B309383" w14:textId="77777777" w:rsidR="00564BD8" w:rsidRDefault="00564BD8" w:rsidP="00564BD8">
      <w:pPr>
        <w:ind w:left="360"/>
        <w:rPr>
          <w:rFonts w:ascii="Trebuchet MS" w:eastAsia="Trebuchet MS" w:hAnsi="Trebuchet MS" w:cs="Trebuchet MS"/>
          <w:b/>
          <w:color w:val="A50021"/>
          <w:sz w:val="28"/>
          <w:szCs w:val="28"/>
        </w:rPr>
      </w:pPr>
      <w:r>
        <w:rPr>
          <w:rFonts w:ascii="Trebuchet MS" w:eastAsia="Trebuchet MS" w:hAnsi="Trebuchet MS" w:cs="Trebuchet MS"/>
          <w:b/>
          <w:color w:val="A50021"/>
          <w:sz w:val="28"/>
          <w:szCs w:val="28"/>
        </w:rPr>
        <w:t>Instructions for use on CDOT construction projects:</w:t>
      </w:r>
    </w:p>
    <w:p w14:paraId="7197F41C" w14:textId="3A9134B0" w:rsidR="00564BD8" w:rsidRDefault="00564BD8" w:rsidP="00564BD8">
      <w:pPr>
        <w:ind w:left="360"/>
        <w:rPr>
          <w:rFonts w:ascii="Trebuchet MS" w:eastAsia="Trebuchet MS" w:hAnsi="Trebuchet MS" w:cs="Trebuchet MS"/>
          <w:sz w:val="28"/>
          <w:szCs w:val="28"/>
        </w:rPr>
      </w:pPr>
      <w:r>
        <w:rPr>
          <w:rFonts w:ascii="Trebuchet MS" w:eastAsia="Trebuchet MS" w:hAnsi="Trebuchet MS" w:cs="Trebuchet MS"/>
          <w:sz w:val="28"/>
          <w:szCs w:val="28"/>
        </w:rPr>
        <w:t>Use the following standard special provision on all projects.</w:t>
      </w:r>
    </w:p>
    <w:p w14:paraId="00000001" w14:textId="6D7CC91C" w:rsidR="00564BD8" w:rsidRDefault="00564BD8">
      <w:pPr>
        <w:rPr>
          <w:b/>
          <w:bCs/>
        </w:rPr>
      </w:pPr>
    </w:p>
    <w:p w14:paraId="237FD88D" w14:textId="77777777" w:rsidR="0038464A" w:rsidRDefault="0038464A">
      <w:pPr>
        <w:spacing w:after="280" w:line="240" w:lineRule="auto"/>
        <w:rPr>
          <w:b/>
          <w:bCs/>
        </w:rPr>
      </w:pPr>
    </w:p>
    <w:p w14:paraId="1D44E3A4" w14:textId="77777777" w:rsidR="00564BD8" w:rsidRDefault="00564BD8">
      <w:pPr>
        <w:rPr>
          <w:rFonts w:ascii="Trebuchet MS" w:eastAsia="Trebuchet MS" w:hAnsi="Trebuchet MS" w:cs="Trebuchet MS"/>
          <w:b/>
          <w:bCs/>
        </w:rPr>
      </w:pPr>
      <w:r>
        <w:rPr>
          <w:rFonts w:ascii="Trebuchet MS" w:eastAsia="Trebuchet MS" w:hAnsi="Trebuchet MS" w:cs="Trebuchet MS"/>
          <w:b/>
          <w:bCs/>
        </w:rPr>
        <w:br w:type="page"/>
      </w:r>
    </w:p>
    <w:p w14:paraId="00000002" w14:textId="361B2FC5" w:rsidR="0038464A" w:rsidRDefault="00564BD8">
      <w:pPr>
        <w:rPr>
          <w:rFonts w:ascii="Trebuchet MS" w:eastAsia="Trebuchet MS" w:hAnsi="Trebuchet MS" w:cs="Trebuchet MS"/>
        </w:rPr>
      </w:pPr>
      <w:r>
        <w:rPr>
          <w:rFonts w:ascii="Trebuchet MS" w:eastAsia="Trebuchet MS" w:hAnsi="Trebuchet MS" w:cs="Trebuchet MS"/>
          <w:b/>
          <w:bCs/>
        </w:rPr>
        <w:lastRenderedPageBreak/>
        <w:t xml:space="preserve">Section 101 of the Standard Specifications </w:t>
      </w:r>
      <w:r w:rsidR="00656073">
        <w:rPr>
          <w:rFonts w:ascii="Trebuchet MS" w:eastAsia="Trebuchet MS" w:hAnsi="Trebuchet MS" w:cs="Trebuchet MS"/>
          <w:b/>
          <w:bCs/>
        </w:rPr>
        <w:t xml:space="preserve">is revised for this project </w:t>
      </w:r>
      <w:r>
        <w:rPr>
          <w:rFonts w:ascii="Trebuchet MS" w:eastAsia="Trebuchet MS" w:hAnsi="Trebuchet MS" w:cs="Trebuchet MS"/>
          <w:b/>
          <w:bCs/>
        </w:rPr>
        <w:t>as follows:</w:t>
      </w:r>
    </w:p>
    <w:p w14:paraId="00000003" w14:textId="77777777" w:rsidR="0038464A" w:rsidRDefault="00564BD8">
      <w:pPr>
        <w:spacing w:before="280" w:after="280" w:line="240" w:lineRule="auto"/>
        <w:rPr>
          <w:rFonts w:ascii="Trebuchet MS" w:eastAsia="Trebuchet MS" w:hAnsi="Trebuchet MS" w:cs="Trebuchet MS"/>
          <w:b/>
          <w:bCs/>
        </w:rPr>
      </w:pPr>
      <w:r>
        <w:rPr>
          <w:rFonts w:ascii="Trebuchet MS" w:eastAsia="Trebuchet MS" w:hAnsi="Trebuchet MS" w:cs="Trebuchet MS"/>
          <w:b/>
          <w:bCs/>
        </w:rPr>
        <w:t xml:space="preserve">Add the following definition to Section 101.02, Definitions: </w:t>
      </w:r>
    </w:p>
    <w:p w14:paraId="00000004" w14:textId="77777777" w:rsidR="0038464A" w:rsidRDefault="00564BD8">
      <w:pPr>
        <w:spacing w:before="280" w:after="280" w:line="240" w:lineRule="auto"/>
        <w:rPr>
          <w:rFonts w:ascii="Trebuchet MS" w:eastAsia="Trebuchet MS" w:hAnsi="Trebuchet MS" w:cs="Trebuchet MS"/>
        </w:rPr>
      </w:pPr>
      <w:r>
        <w:rPr>
          <w:rFonts w:ascii="Trebuchet MS" w:eastAsia="Trebuchet MS" w:hAnsi="Trebuchet MS" w:cs="Trebuchet MS"/>
          <w:b/>
          <w:bCs/>
        </w:rPr>
        <w:t>Approved Water Source</w:t>
      </w:r>
      <w:r>
        <w:rPr>
          <w:rFonts w:ascii="Trebuchet MS" w:eastAsia="Trebuchet MS" w:hAnsi="Trebuchet MS" w:cs="Trebuchet MS"/>
        </w:rPr>
        <w:t>.  In Colorado, all water use is managed under the "Prior Appropriation System." This determines:</w:t>
      </w:r>
    </w:p>
    <w:p w14:paraId="00000005" w14:textId="77777777" w:rsidR="0038464A" w:rsidRDefault="00564BD8">
      <w:pPr>
        <w:numPr>
          <w:ilvl w:val="0"/>
          <w:numId w:val="1"/>
        </w:numPr>
        <w:pBdr>
          <w:top w:val="nil"/>
          <w:left w:val="nil"/>
          <w:bottom w:val="nil"/>
          <w:right w:val="nil"/>
          <w:between w:val="nil"/>
        </w:pBdr>
        <w:spacing w:before="280" w:after="0" w:line="240" w:lineRule="auto"/>
        <w:rPr>
          <w:color w:val="000000"/>
        </w:rPr>
      </w:pPr>
      <w:r>
        <w:rPr>
          <w:rFonts w:ascii="Trebuchet MS" w:eastAsia="Trebuchet MS" w:hAnsi="Trebuchet MS" w:cs="Trebuchet MS"/>
          <w:color w:val="000000"/>
        </w:rPr>
        <w:t xml:space="preserve">who can use the water, </w:t>
      </w:r>
    </w:p>
    <w:p w14:paraId="00000006" w14:textId="77777777" w:rsidR="0038464A" w:rsidRDefault="00564BD8">
      <w:pPr>
        <w:numPr>
          <w:ilvl w:val="0"/>
          <w:numId w:val="1"/>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 xml:space="preserve">where the water is diverted from its source, </w:t>
      </w:r>
    </w:p>
    <w:p w14:paraId="00000007" w14:textId="77777777" w:rsidR="0038464A" w:rsidRDefault="00564BD8">
      <w:pPr>
        <w:numPr>
          <w:ilvl w:val="0"/>
          <w:numId w:val="1"/>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 xml:space="preserve">how much can be used, </w:t>
      </w:r>
    </w:p>
    <w:p w14:paraId="00000008" w14:textId="77777777" w:rsidR="0038464A" w:rsidRDefault="00564BD8">
      <w:pPr>
        <w:numPr>
          <w:ilvl w:val="0"/>
          <w:numId w:val="1"/>
        </w:numPr>
        <w:pBdr>
          <w:top w:val="nil"/>
          <w:left w:val="nil"/>
          <w:bottom w:val="nil"/>
          <w:right w:val="nil"/>
          <w:between w:val="nil"/>
        </w:pBdr>
        <w:spacing w:after="0" w:line="240" w:lineRule="auto"/>
        <w:rPr>
          <w:color w:val="000000"/>
        </w:rPr>
      </w:pPr>
      <w:r>
        <w:rPr>
          <w:rFonts w:ascii="Trebuchet MS" w:eastAsia="Trebuchet MS" w:hAnsi="Trebuchet MS" w:cs="Trebuchet MS"/>
          <w:color w:val="000000"/>
        </w:rPr>
        <w:t xml:space="preserve">what can it be used for, and </w:t>
      </w:r>
    </w:p>
    <w:p w14:paraId="00000009" w14:textId="77777777" w:rsidR="0038464A" w:rsidRDefault="00564BD8">
      <w:pPr>
        <w:numPr>
          <w:ilvl w:val="0"/>
          <w:numId w:val="1"/>
        </w:numPr>
        <w:pBdr>
          <w:top w:val="nil"/>
          <w:left w:val="nil"/>
          <w:bottom w:val="nil"/>
          <w:right w:val="nil"/>
          <w:between w:val="nil"/>
        </w:pBdr>
        <w:spacing w:after="280" w:line="240" w:lineRule="auto"/>
        <w:rPr>
          <w:color w:val="000000"/>
        </w:rPr>
      </w:pPr>
      <w:r>
        <w:rPr>
          <w:rFonts w:ascii="Trebuchet MS" w:eastAsia="Trebuchet MS" w:hAnsi="Trebuchet MS" w:cs="Trebuchet MS"/>
          <w:color w:val="000000"/>
        </w:rPr>
        <w:t xml:space="preserve">when it can be accessed. </w:t>
      </w:r>
    </w:p>
    <w:p w14:paraId="0000000A" w14:textId="77777777" w:rsidR="0038464A" w:rsidRDefault="00564BD8">
      <w:pPr>
        <w:spacing w:before="280" w:after="280" w:line="240" w:lineRule="auto"/>
        <w:rPr>
          <w:rFonts w:ascii="Trebuchet MS" w:eastAsia="Trebuchet MS" w:hAnsi="Trebuchet MS" w:cs="Trebuchet MS"/>
        </w:rPr>
      </w:pPr>
      <w:r>
        <w:rPr>
          <w:rFonts w:ascii="Trebuchet MS" w:eastAsia="Trebuchet MS" w:hAnsi="Trebuchet MS" w:cs="Trebuchet MS"/>
        </w:rPr>
        <w:t>This means that ground or surface water cannot be used unless the proper water rights have been legally obtained. Approved sources of water include supplies from the contractor’s yard or water that has been purchased or provided with the landowner’s permission. Ground or surface water found on or near the project site is not an approved source unless those legal rights have been obtained.</w:t>
      </w:r>
    </w:p>
    <w:p w14:paraId="0000000B" w14:textId="77777777" w:rsidR="0038464A" w:rsidRDefault="0038464A"/>
    <w:sectPr w:rsidR="0038464A" w:rsidSect="00C43579">
      <w:headerReference w:type="default" r:id="rId7"/>
      <w:headerReference w:type="first" r:id="rId8"/>
      <w:pgSz w:w="12240" w:h="15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FE0CF" w14:textId="77777777" w:rsidR="00564BD8" w:rsidRDefault="00564BD8">
      <w:pPr>
        <w:spacing w:after="0" w:line="240" w:lineRule="auto"/>
      </w:pPr>
      <w:r>
        <w:separator/>
      </w:r>
    </w:p>
  </w:endnote>
  <w:endnote w:type="continuationSeparator" w:id="0">
    <w:p w14:paraId="700839E4" w14:textId="77777777" w:rsidR="00564BD8" w:rsidRDefault="00564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BCB052-0BE4-4A0E-9373-4FAB8BF28121}"/>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7D39884-C4CE-428B-8CF9-AFE6862B0BAD}"/>
    <w:embedBold r:id="rId3" w:fontKey="{DD5A7F89-928F-46F0-89C7-A940CDFF915D}"/>
    <w:embedItalic r:id="rId4" w:fontKey="{2A7D4067-5C62-4FA5-8814-ED33C95E92F4}"/>
  </w:font>
  <w:font w:name="Play">
    <w:charset w:val="00"/>
    <w:family w:val="auto"/>
    <w:pitch w:val="default"/>
    <w:embedRegular r:id="rId5" w:fontKey="{D2C1D837-7D2E-4CE2-A41B-321074D072D5}"/>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6" w:fontKey="{04F0B2F4-3455-45F5-949B-89F39AF9224C}"/>
    <w:embedBold r:id="rId7" w:fontKey="{FDEBC0BA-4EB4-4DDB-9669-1B90903F5038}"/>
    <w:embedItalic r:id="rId8" w:fontKey="{12FDF967-C133-4840-9562-8E92D57B952C}"/>
  </w:font>
  <w:font w:name="Calibri">
    <w:panose1 w:val="020F0502020204030204"/>
    <w:charset w:val="00"/>
    <w:family w:val="swiss"/>
    <w:pitch w:val="variable"/>
    <w:sig w:usb0="E4002EFF" w:usb1="C200247B" w:usb2="00000009" w:usb3="00000000" w:csb0="000001FF" w:csb1="00000000"/>
    <w:embedRegular r:id="rId9" w:fontKey="{6C8917F7-7DB7-4C60-9B19-65CEB17EFD61}"/>
  </w:font>
  <w:font w:name="Cambria">
    <w:panose1 w:val="02040503050406030204"/>
    <w:charset w:val="00"/>
    <w:family w:val="roman"/>
    <w:pitch w:val="variable"/>
    <w:sig w:usb0="E00006FF" w:usb1="420024FF" w:usb2="02000000" w:usb3="00000000" w:csb0="0000019F" w:csb1="00000000"/>
    <w:embedRegular r:id="rId10" w:fontKey="{32126360-2F52-4906-8135-33921066D0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1D30B" w14:textId="77777777" w:rsidR="00564BD8" w:rsidRDefault="00564BD8">
      <w:pPr>
        <w:spacing w:after="0" w:line="240" w:lineRule="auto"/>
      </w:pPr>
      <w:r>
        <w:separator/>
      </w:r>
    </w:p>
  </w:footnote>
  <w:footnote w:type="continuationSeparator" w:id="0">
    <w:p w14:paraId="5FB218BA" w14:textId="77777777" w:rsidR="00564BD8" w:rsidRDefault="00564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425BC370" w:rsidR="0038464A" w:rsidRDefault="00564BD8">
    <w:pPr>
      <w:pBdr>
        <w:top w:val="nil"/>
        <w:left w:val="nil"/>
        <w:bottom w:val="nil"/>
        <w:right w:val="nil"/>
        <w:between w:val="nil"/>
      </w:pBdr>
      <w:tabs>
        <w:tab w:val="center" w:pos="4680"/>
        <w:tab w:val="right" w:pos="9360"/>
      </w:tabs>
      <w:spacing w:after="0" w:line="240" w:lineRule="auto"/>
      <w:jc w:val="right"/>
      <w:rPr>
        <w:rFonts w:ascii="Trebuchet MS" w:eastAsia="Trebuchet MS" w:hAnsi="Trebuchet MS" w:cs="Trebuchet MS"/>
        <w:color w:val="000000"/>
      </w:rPr>
    </w:pPr>
    <w:r>
      <w:rPr>
        <w:rFonts w:ascii="Trebuchet MS" w:eastAsia="Trebuchet MS" w:hAnsi="Trebuchet MS" w:cs="Trebuchet MS"/>
        <w:color w:val="000000"/>
      </w:rPr>
      <w:fldChar w:fldCharType="begin"/>
    </w:r>
    <w:r>
      <w:rPr>
        <w:rFonts w:ascii="Trebuchet MS" w:eastAsia="Trebuchet MS" w:hAnsi="Trebuchet MS" w:cs="Trebuchet MS"/>
        <w:color w:val="000000"/>
      </w:rPr>
      <w:instrText>PAGE</w:instrText>
    </w:r>
    <w:r>
      <w:rPr>
        <w:rFonts w:ascii="Trebuchet MS" w:eastAsia="Trebuchet MS" w:hAnsi="Trebuchet MS" w:cs="Trebuchet MS"/>
        <w:color w:val="000000"/>
      </w:rPr>
      <w:fldChar w:fldCharType="separate"/>
    </w:r>
    <w:r>
      <w:rPr>
        <w:rFonts w:ascii="Trebuchet MS" w:eastAsia="Trebuchet MS" w:hAnsi="Trebuchet MS" w:cs="Trebuchet MS"/>
        <w:noProof/>
        <w:color w:val="000000"/>
      </w:rPr>
      <w:t>1</w:t>
    </w:r>
    <w:r>
      <w:rPr>
        <w:rFonts w:ascii="Trebuchet MS" w:eastAsia="Trebuchet MS" w:hAnsi="Trebuchet MS" w:cs="Trebuchet MS"/>
        <w:color w:val="000000"/>
      </w:rPr>
      <w:fldChar w:fldCharType="end"/>
    </w:r>
    <w:r>
      <w:rPr>
        <w:rFonts w:ascii="Trebuchet MS" w:eastAsia="Trebuchet MS" w:hAnsi="Trebuchet MS" w:cs="Trebuchet MS"/>
        <w:color w:val="000000"/>
      </w:rPr>
      <w:t xml:space="preserve">                                               March 1</w:t>
    </w:r>
    <w:r w:rsidR="004F1BCD">
      <w:rPr>
        <w:rFonts w:ascii="Trebuchet MS" w:eastAsia="Trebuchet MS" w:hAnsi="Trebuchet MS" w:cs="Trebuchet MS"/>
        <w:color w:val="000000"/>
      </w:rPr>
      <w:t>9</w:t>
    </w:r>
    <w:r>
      <w:rPr>
        <w:rFonts w:ascii="Trebuchet MS" w:eastAsia="Trebuchet MS" w:hAnsi="Trebuchet MS" w:cs="Trebuchet MS"/>
        <w:color w:val="000000"/>
      </w:rPr>
      <w:t>, 2026</w:t>
    </w:r>
  </w:p>
  <w:p w14:paraId="0000000D" w14:textId="77777777" w:rsidR="0038464A" w:rsidRDefault="00564BD8">
    <w:pPr>
      <w:spacing w:after="0" w:line="240" w:lineRule="auto"/>
      <w:jc w:val="center"/>
      <w:rPr>
        <w:rFonts w:ascii="Trebuchet MS" w:eastAsia="Trebuchet MS" w:hAnsi="Trebuchet MS" w:cs="Trebuchet MS"/>
        <w:b/>
        <w:bCs/>
        <w:sz w:val="28"/>
        <w:szCs w:val="28"/>
      </w:rPr>
    </w:pPr>
    <w:r>
      <w:rPr>
        <w:rFonts w:ascii="Trebuchet MS" w:eastAsia="Trebuchet MS" w:hAnsi="Trebuchet MS" w:cs="Trebuchet MS"/>
        <w:b/>
        <w:bCs/>
        <w:sz w:val="28"/>
        <w:szCs w:val="28"/>
      </w:rPr>
      <w:t>Revision of Section 101</w:t>
    </w:r>
  </w:p>
  <w:p w14:paraId="0000000E" w14:textId="77777777" w:rsidR="0038464A" w:rsidRDefault="00564BD8">
    <w:pPr>
      <w:spacing w:after="0" w:line="240" w:lineRule="auto"/>
      <w:jc w:val="center"/>
      <w:rPr>
        <w:rFonts w:ascii="Trebuchet MS" w:eastAsia="Trebuchet MS" w:hAnsi="Trebuchet MS" w:cs="Trebuchet MS"/>
        <w:b/>
        <w:bCs/>
        <w:sz w:val="28"/>
        <w:szCs w:val="28"/>
      </w:rPr>
    </w:pPr>
    <w:r>
      <w:rPr>
        <w:rFonts w:ascii="Trebuchet MS" w:eastAsia="Trebuchet MS" w:hAnsi="Trebuchet MS" w:cs="Trebuchet MS"/>
        <w:b/>
        <w:bCs/>
        <w:sz w:val="28"/>
        <w:szCs w:val="28"/>
      </w:rPr>
      <w:t>General Provisions</w:t>
    </w:r>
  </w:p>
  <w:p w14:paraId="0000000F" w14:textId="77777777" w:rsidR="0038464A" w:rsidRDefault="0038464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69768" w14:textId="0962306F" w:rsidR="00C43579" w:rsidRDefault="00C43579" w:rsidP="00C43579">
    <w:pPr>
      <w:pBdr>
        <w:top w:val="nil"/>
        <w:left w:val="nil"/>
        <w:bottom w:val="nil"/>
        <w:right w:val="nil"/>
        <w:between w:val="nil"/>
      </w:pBdr>
      <w:tabs>
        <w:tab w:val="center" w:pos="4680"/>
        <w:tab w:val="right" w:pos="9360"/>
      </w:tabs>
      <w:spacing w:after="0" w:line="240" w:lineRule="auto"/>
      <w:jc w:val="right"/>
      <w:rPr>
        <w:rFonts w:ascii="Trebuchet MS" w:eastAsia="Trebuchet MS" w:hAnsi="Trebuchet MS" w:cs="Trebuchet MS"/>
        <w:color w:val="000000"/>
      </w:rPr>
    </w:pPr>
    <w:r>
      <w:rPr>
        <w:rFonts w:ascii="Trebuchet MS" w:eastAsia="Trebuchet MS" w:hAnsi="Trebuchet MS" w:cs="Trebuchet MS"/>
        <w:color w:val="000000"/>
      </w:rPr>
      <w:t>March 1</w:t>
    </w:r>
    <w:r w:rsidR="00BD028E">
      <w:rPr>
        <w:rFonts w:ascii="Trebuchet MS" w:eastAsia="Trebuchet MS" w:hAnsi="Trebuchet MS" w:cs="Trebuchet MS"/>
        <w:color w:val="000000"/>
      </w:rPr>
      <w:t>9</w:t>
    </w:r>
    <w:r>
      <w:rPr>
        <w:rFonts w:ascii="Trebuchet MS" w:eastAsia="Trebuchet MS" w:hAnsi="Trebuchet MS" w:cs="Trebuchet MS"/>
        <w:color w:val="000000"/>
      </w:rPr>
      <w:t>, 2026</w:t>
    </w:r>
  </w:p>
  <w:p w14:paraId="0C8B3651" w14:textId="77777777" w:rsidR="00C43579" w:rsidRDefault="00C43579" w:rsidP="00C43579">
    <w:pPr>
      <w:spacing w:after="0" w:line="240" w:lineRule="auto"/>
      <w:jc w:val="center"/>
      <w:rPr>
        <w:rFonts w:ascii="Trebuchet MS" w:eastAsia="Trebuchet MS" w:hAnsi="Trebuchet MS" w:cs="Trebuchet MS"/>
        <w:b/>
        <w:bCs/>
        <w:sz w:val="28"/>
        <w:szCs w:val="28"/>
      </w:rPr>
    </w:pPr>
    <w:r>
      <w:rPr>
        <w:rFonts w:ascii="Trebuchet MS" w:eastAsia="Trebuchet MS" w:hAnsi="Trebuchet MS" w:cs="Trebuchet MS"/>
        <w:b/>
        <w:bCs/>
        <w:sz w:val="28"/>
        <w:szCs w:val="28"/>
      </w:rPr>
      <w:t>Revision of Section 101</w:t>
    </w:r>
  </w:p>
  <w:p w14:paraId="53AF8A7B" w14:textId="77777777" w:rsidR="00C43579" w:rsidRDefault="00C43579" w:rsidP="00C43579">
    <w:pPr>
      <w:spacing w:after="0" w:line="240" w:lineRule="auto"/>
      <w:jc w:val="center"/>
      <w:rPr>
        <w:rFonts w:ascii="Trebuchet MS" w:eastAsia="Trebuchet MS" w:hAnsi="Trebuchet MS" w:cs="Trebuchet MS"/>
        <w:b/>
        <w:bCs/>
        <w:sz w:val="28"/>
        <w:szCs w:val="28"/>
      </w:rPr>
    </w:pPr>
    <w:r>
      <w:rPr>
        <w:rFonts w:ascii="Trebuchet MS" w:eastAsia="Trebuchet MS" w:hAnsi="Trebuchet MS" w:cs="Trebuchet MS"/>
        <w:b/>
        <w:bCs/>
        <w:sz w:val="28"/>
        <w:szCs w:val="28"/>
      </w:rPr>
      <w:t>General Provisions</w:t>
    </w:r>
  </w:p>
  <w:p w14:paraId="3C114988" w14:textId="77777777" w:rsidR="00C43579" w:rsidRDefault="00C435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B37DC"/>
    <w:multiLevelType w:val="multilevel"/>
    <w:tmpl w:val="D3785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3661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64A"/>
    <w:rsid w:val="000A2665"/>
    <w:rsid w:val="000C3567"/>
    <w:rsid w:val="00334A2B"/>
    <w:rsid w:val="0038464A"/>
    <w:rsid w:val="004F1BCD"/>
    <w:rsid w:val="00564BD8"/>
    <w:rsid w:val="00656073"/>
    <w:rsid w:val="008F7F17"/>
    <w:rsid w:val="00BD028E"/>
    <w:rsid w:val="00C43579"/>
    <w:rsid w:val="00E01EA6"/>
    <w:rsid w:val="00F82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509E8"/>
  <w15:docId w15:val="{05B31A93-156C-4DB0-A99B-F679D586F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564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BD8"/>
  </w:style>
  <w:style w:type="paragraph" w:styleId="Footer">
    <w:name w:val="footer"/>
    <w:basedOn w:val="Normal"/>
    <w:link w:val="FooterChar"/>
    <w:uiPriority w:val="99"/>
    <w:unhideWhenUsed/>
    <w:rsid w:val="00564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269</Words>
  <Characters>1390</Characters>
  <Application>Microsoft Office Word</Application>
  <DocSecurity>0</DocSecurity>
  <Lines>66</Lines>
  <Paragraphs>26</Paragraphs>
  <ScaleCrop>false</ScaleCrop>
  <HeadingPairs>
    <vt:vector size="2" baseType="variant">
      <vt:variant>
        <vt:lpstr>Title</vt:lpstr>
      </vt:variant>
      <vt:variant>
        <vt:i4>1</vt:i4>
      </vt:variant>
    </vt:vector>
  </HeadingPairs>
  <TitlesOfParts>
    <vt:vector size="1" baseType="lpstr">
      <vt:lpstr>Notice 101 deftn Approved Water Source</vt:lpstr>
    </vt:vector>
  </TitlesOfParts>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101 deftn Approved Water Source</dc:title>
  <cp:lastModifiedBy>Kayen, Michele</cp:lastModifiedBy>
  <cp:revision>7</cp:revision>
  <dcterms:created xsi:type="dcterms:W3CDTF">2026-03-16T14:25:00Z</dcterms:created>
  <dcterms:modified xsi:type="dcterms:W3CDTF">2026-03-19T15:37:00Z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5864b7f2-9b44-408e-b535-50299bca5950</vt:lpwstr>
  </property>
</Properties>
</file>