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Revision of Sections 105, 106, and 203</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Conformity to the Contract of Embankment</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004">
      <w:pPr>
        <w:jc w:val="both"/>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Revise Sections 105, 106 and 203 of the Standard Specifications for this project as follows:</w:t>
      </w:r>
    </w:p>
    <w:p w:rsidR="00000000" w:rsidDel="00000000" w:rsidP="00000000" w:rsidRDefault="00000000" w:rsidRPr="00000000" w14:paraId="00000005">
      <w:pP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6">
      <w:pPr>
        <w:jc w:val="both"/>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Subsection 105.03 shall include the following:</w:t>
      </w:r>
    </w:p>
    <w:p w:rsidR="00000000" w:rsidDel="00000000" w:rsidP="00000000" w:rsidRDefault="00000000" w:rsidRPr="00000000" w14:paraId="00000007">
      <w:pPr>
        <w:ind w:left="720" w:firstLine="0"/>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ind w:left="360" w:hanging="360"/>
        <w:jc w:val="both"/>
        <w:rPr>
          <w:rFonts w:ascii="Trebuchet MS" w:cs="Trebuchet MS" w:eastAsia="Trebuchet MS" w:hAnsi="Trebuchet MS"/>
          <w:color w:val="000000"/>
          <w:sz w:val="24"/>
          <w:szCs w:val="24"/>
        </w:rPr>
      </w:pPr>
      <w:bookmarkStart w:colFirst="0" w:colLast="0" w:name="_y6e5n17gt2d1" w:id="0"/>
      <w:bookmarkEnd w:id="0"/>
      <w:r w:rsidDel="00000000" w:rsidR="00000000" w:rsidRPr="00000000">
        <w:rPr>
          <w:rFonts w:ascii="Trebuchet MS" w:cs="Trebuchet MS" w:eastAsia="Trebuchet MS" w:hAnsi="Trebuchet MS"/>
          <w:color w:val="000000"/>
          <w:sz w:val="24"/>
          <w:szCs w:val="24"/>
          <w:rtl w:val="0"/>
        </w:rPr>
        <w:t xml:space="preserve">Conformity to the contract of embankment construction </w:t>
      </w:r>
      <w:r w:rsidDel="00000000" w:rsidR="00000000" w:rsidRPr="00000000">
        <w:rPr>
          <w:rFonts w:ascii="Trebuchet MS" w:cs="Trebuchet MS" w:eastAsia="Trebuchet MS" w:hAnsi="Trebuchet MS"/>
          <w:sz w:val="24"/>
          <w:szCs w:val="24"/>
          <w:rtl w:val="0"/>
        </w:rPr>
        <w:t xml:space="preserve">wi</w:t>
      </w:r>
      <w:r w:rsidDel="00000000" w:rsidR="00000000" w:rsidRPr="00000000">
        <w:rPr>
          <w:rFonts w:ascii="Trebuchet MS" w:cs="Trebuchet MS" w:eastAsia="Trebuchet MS" w:hAnsi="Trebuchet MS"/>
          <w:color w:val="000000"/>
          <w:sz w:val="24"/>
          <w:szCs w:val="24"/>
          <w:rtl w:val="0"/>
        </w:rPr>
        <w:t xml:space="preserve">ll be determined </w:t>
      </w:r>
      <w:r w:rsidDel="00000000" w:rsidR="00000000" w:rsidRPr="00000000">
        <w:rPr>
          <w:rFonts w:ascii="Trebuchet MS" w:cs="Trebuchet MS" w:eastAsia="Trebuchet MS" w:hAnsi="Trebuchet MS"/>
          <w:sz w:val="24"/>
          <w:szCs w:val="24"/>
          <w:rtl w:val="0"/>
        </w:rPr>
        <w:t xml:space="preserve">per</w:t>
      </w:r>
      <w:r w:rsidDel="00000000" w:rsidR="00000000" w:rsidRPr="00000000">
        <w:rPr>
          <w:rFonts w:ascii="Trebuchet MS" w:cs="Trebuchet MS" w:eastAsia="Trebuchet MS" w:hAnsi="Trebuchet MS"/>
          <w:color w:val="000000"/>
          <w:sz w:val="24"/>
          <w:szCs w:val="24"/>
          <w:rtl w:val="0"/>
        </w:rPr>
        <w:t xml:space="preserve"> the following:</w:t>
      </w:r>
    </w:p>
    <w:p w:rsidR="00000000" w:rsidDel="00000000" w:rsidP="00000000" w:rsidRDefault="00000000" w:rsidRPr="00000000" w14:paraId="00000009">
      <w:pPr>
        <w:jc w:val="both"/>
        <w:rPr>
          <w:rFonts w:ascii="Trebuchet MS" w:cs="Trebuchet MS" w:eastAsia="Trebuchet MS" w:hAnsi="Trebuchet MS"/>
          <w:i w:val="1"/>
          <w:iCs w:val="1"/>
          <w:sz w:val="24"/>
          <w:szCs w:val="24"/>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720" w:hanging="360"/>
        <w:jc w:val="both"/>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i w:val="1"/>
          <w:iCs w:val="1"/>
          <w:color w:val="000000"/>
          <w:sz w:val="24"/>
          <w:szCs w:val="24"/>
          <w:rtl w:val="0"/>
        </w:rPr>
        <w:t xml:space="preserve">Process Control Plan.</w:t>
      </w:r>
      <w:r w:rsidDel="00000000" w:rsidR="00000000" w:rsidRPr="00000000">
        <w:rPr>
          <w:rFonts w:ascii="Trebuchet MS" w:cs="Trebuchet MS" w:eastAsia="Trebuchet MS" w:hAnsi="Trebuchet MS"/>
          <w:color w:val="000000"/>
          <w:sz w:val="24"/>
          <w:szCs w:val="24"/>
          <w:rtl w:val="0"/>
        </w:rPr>
        <w:t xml:space="preserve"> The Contractor shall be responsible for Process Control (PC) for all embankment material and embankment construction on this project. The Contractor shall submit a written Process Control Plan (PCP), including a methods statement, to the Engineer for acceptance.  The PCP shall include, but not be limited to, the following:</w:t>
      </w:r>
    </w:p>
    <w:p w:rsidR="00000000" w:rsidDel="00000000" w:rsidP="00000000" w:rsidRDefault="00000000" w:rsidRPr="00000000" w14:paraId="0000000B">
      <w:pP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C">
      <w:pPr>
        <w:numPr>
          <w:ilvl w:val="0"/>
          <w:numId w:val="3"/>
        </w:numPr>
        <w:tabs>
          <w:tab w:val="left" w:leader="none" w:pos="720"/>
        </w:tabs>
        <w:spacing w:after="120" w:lineRule="auto"/>
        <w:ind w:left="1267" w:hanging="547"/>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Identification of the supervisor and technicians responsible for implementing the PCP throughout construction.  The Contractor shall demonstrate that an appropriate number of technicians/inspectors will be present on the project to accommodate the laboratory testing and inspection items that are required to maintain PC requirements specified for daily earthwork operations.  </w:t>
      </w:r>
    </w:p>
    <w:p w:rsidR="00000000" w:rsidDel="00000000" w:rsidP="00000000" w:rsidRDefault="00000000" w:rsidRPr="00000000" w14:paraId="0000000D">
      <w:pPr>
        <w:numPr>
          <w:ilvl w:val="0"/>
          <w:numId w:val="3"/>
        </w:numPr>
        <w:tabs>
          <w:tab w:val="left" w:leader="none" w:pos="720"/>
        </w:tabs>
        <w:spacing w:after="120" w:lineRule="auto"/>
        <w:ind w:left="1267" w:hanging="547"/>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Identification of the laboratory, accredited in accordance with CP-10, to be used throughout the project to conduct PC testing.  The CDOT Central lab and the CDOT Regional labs will not be responsible for testing materials submitted to meet Contractor PC Requirements. </w:t>
      </w:r>
    </w:p>
    <w:p w:rsidR="00000000" w:rsidDel="00000000" w:rsidP="00000000" w:rsidRDefault="00000000" w:rsidRPr="00000000" w14:paraId="0000000E">
      <w:pPr>
        <w:numPr>
          <w:ilvl w:val="0"/>
          <w:numId w:val="3"/>
        </w:numPr>
        <w:tabs>
          <w:tab w:val="left" w:leader="none" w:pos="720"/>
        </w:tabs>
        <w:spacing w:after="120" w:lineRule="auto"/>
        <w:ind w:left="1267" w:hanging="547"/>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Maximum lift thickness not to exceed eight inches as per subsection 203.06 or as directed.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267" w:right="0" w:hanging="547"/>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Methods to separate, process, or supply material for embankment fill that meets the material requirements specified in the contract documents.  </w:t>
      </w:r>
    </w:p>
    <w:p w:rsidR="00000000" w:rsidDel="00000000" w:rsidP="00000000" w:rsidRDefault="00000000" w:rsidRPr="00000000" w14:paraId="00000010">
      <w:pPr>
        <w:numPr>
          <w:ilvl w:val="0"/>
          <w:numId w:val="3"/>
        </w:numPr>
        <w:tabs>
          <w:tab w:val="left" w:leader="none" w:pos="720"/>
        </w:tabs>
        <w:spacing w:after="120" w:lineRule="auto"/>
        <w:ind w:left="1267" w:hanging="547"/>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List of compaction equipment capable of the specified compaction.</w:t>
      </w:r>
    </w:p>
    <w:p w:rsidR="00000000" w:rsidDel="00000000" w:rsidP="00000000" w:rsidRDefault="00000000" w:rsidRPr="00000000" w14:paraId="00000011">
      <w:pPr>
        <w:numPr>
          <w:ilvl w:val="0"/>
          <w:numId w:val="3"/>
        </w:numPr>
        <w:tabs>
          <w:tab w:val="left" w:leader="none" w:pos="720"/>
        </w:tabs>
        <w:spacing w:after="120" w:lineRule="auto"/>
        <w:ind w:left="1267" w:hanging="547"/>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Water trucks with an adequate distribution system that will apply water evenly and equipment to evenly incorporate the water into the embankment.</w:t>
      </w:r>
    </w:p>
    <w:p w:rsidR="00000000" w:rsidDel="00000000" w:rsidP="00000000" w:rsidRDefault="00000000" w:rsidRPr="00000000" w14:paraId="00000012">
      <w:pPr>
        <w:numPr>
          <w:ilvl w:val="0"/>
          <w:numId w:val="3"/>
        </w:numPr>
        <w:tabs>
          <w:tab w:val="left" w:leader="none" w:pos="720"/>
        </w:tabs>
        <w:spacing w:after="120" w:lineRule="auto"/>
        <w:ind w:left="1267" w:hanging="547"/>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Methods to control and document foundation preparation before placement of embankment fill; which will include clearing and grubbing per Section 201, removal of all topsoil per Section 207, removal and replacement of any unsuitable material identified during excavation or foundation preparation, and scarifying, moisture conditioning, and compaction of the final embankment foundation surfaces using methods appropriate for the material types present.  </w:t>
      </w:r>
    </w:p>
    <w:p w:rsidR="00000000" w:rsidDel="00000000" w:rsidP="00000000" w:rsidRDefault="00000000" w:rsidRPr="00000000" w14:paraId="00000013">
      <w:pPr>
        <w:rPr>
          <w:rFonts w:ascii="Trebuchet MS" w:cs="Trebuchet MS" w:eastAsia="Trebuchet MS" w:hAnsi="Trebuchet M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Revision of Sections 105, 106, and 203</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Conformity to the Contract of Embankment</w:t>
      </w:r>
    </w:p>
    <w:p w:rsidR="00000000" w:rsidDel="00000000" w:rsidP="00000000" w:rsidRDefault="00000000" w:rsidRPr="00000000" w14:paraId="00000016">
      <w:pPr>
        <w:numPr>
          <w:ilvl w:val="0"/>
          <w:numId w:val="3"/>
        </w:numPr>
        <w:tabs>
          <w:tab w:val="left" w:leader="none" w:pos="720"/>
        </w:tabs>
        <w:spacing w:after="120" w:lineRule="auto"/>
        <w:ind w:left="1267" w:hanging="547"/>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Methods to control and document that placement, lift thickness, moisture conditioning, compaction equipment and methods, and compaction observation/testing are appropriate for the embankment material types being placed.  </w:t>
      </w:r>
    </w:p>
    <w:p w:rsidR="00000000" w:rsidDel="00000000" w:rsidP="00000000" w:rsidRDefault="00000000" w:rsidRPr="00000000" w14:paraId="00000017">
      <w:pPr>
        <w:numPr>
          <w:ilvl w:val="0"/>
          <w:numId w:val="3"/>
        </w:numPr>
        <w:tabs>
          <w:tab w:val="left" w:leader="none" w:pos="720"/>
        </w:tabs>
        <w:spacing w:after="120" w:lineRule="auto"/>
        <w:ind w:left="1267" w:hanging="547"/>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Methods to identify and communicate changes in embankment fill being placed require modification of placement, moisture conditioning, compaction methods, observation, and testing.  </w:t>
      </w:r>
    </w:p>
    <w:p w:rsidR="00000000" w:rsidDel="00000000" w:rsidP="00000000" w:rsidRDefault="00000000" w:rsidRPr="00000000" w14:paraId="00000018">
      <w:pPr>
        <w:numPr>
          <w:ilvl w:val="0"/>
          <w:numId w:val="3"/>
        </w:numPr>
        <w:tabs>
          <w:tab w:val="left" w:leader="none" w:pos="720"/>
        </w:tabs>
        <w:spacing w:after="120" w:lineRule="auto"/>
        <w:ind w:left="1267" w:hanging="547"/>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 plan to notify or communicate in advance to CDOT’s Engineer when the embankment is ready for OA testing, to satisfy OA testing requirements while minimizing construction delays.  </w:t>
      </w:r>
    </w:p>
    <w:p w:rsidR="00000000" w:rsidDel="00000000" w:rsidP="00000000" w:rsidRDefault="00000000" w:rsidRPr="00000000" w14:paraId="00000019">
      <w:pPr>
        <w:numPr>
          <w:ilvl w:val="0"/>
          <w:numId w:val="3"/>
        </w:numPr>
        <w:tabs>
          <w:tab w:val="left" w:leader="none" w:pos="720"/>
        </w:tabs>
        <w:spacing w:after="120" w:lineRule="auto"/>
        <w:ind w:left="1267" w:hanging="547"/>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List of all documentation for inspection and materials testing, including worksheets, forms, and procedures utilized by the Contractor per CP-12C.</w:t>
      </w:r>
    </w:p>
    <w:p w:rsidR="00000000" w:rsidDel="00000000" w:rsidP="00000000" w:rsidRDefault="00000000" w:rsidRPr="00000000" w14:paraId="0000001A">
      <w:pPr>
        <w:numPr>
          <w:ilvl w:val="0"/>
          <w:numId w:val="3"/>
        </w:numPr>
        <w:tabs>
          <w:tab w:val="left" w:leader="none" w:pos="720"/>
        </w:tabs>
        <w:ind w:left="1260" w:hanging="54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Minimum testing frequency, as per Table 106-4. </w:t>
      </w:r>
    </w:p>
    <w:p w:rsidR="00000000" w:rsidDel="00000000" w:rsidP="00000000" w:rsidRDefault="00000000" w:rsidRPr="00000000" w14:paraId="0000001B">
      <w:pPr>
        <w:tabs>
          <w:tab w:val="left" w:leader="none" w:pos="720"/>
        </w:tabs>
        <w:ind w:left="360" w:firstLine="0"/>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360"/>
          <w:tab w:val="left" w:leader="none" w:pos="720"/>
        </w:tabs>
        <w:ind w:left="720" w:firstLine="0"/>
        <w:jc w:val="both"/>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The </w:t>
      </w:r>
      <w:r w:rsidDel="00000000" w:rsidR="00000000" w:rsidRPr="00000000">
        <w:rPr>
          <w:rFonts w:ascii="Trebuchet MS" w:cs="Trebuchet MS" w:eastAsia="Trebuchet MS" w:hAnsi="Trebuchet MS"/>
          <w:smallCaps w:val="1"/>
          <w:color w:val="000000"/>
          <w:sz w:val="24"/>
          <w:szCs w:val="24"/>
          <w:rtl w:val="0"/>
        </w:rPr>
        <w:t xml:space="preserve">C</w:t>
      </w:r>
      <w:r w:rsidDel="00000000" w:rsidR="00000000" w:rsidRPr="00000000">
        <w:rPr>
          <w:rFonts w:ascii="Trebuchet MS" w:cs="Trebuchet MS" w:eastAsia="Trebuchet MS" w:hAnsi="Trebuchet MS"/>
          <w:color w:val="000000"/>
          <w:sz w:val="24"/>
          <w:szCs w:val="24"/>
          <w:rtl w:val="0"/>
        </w:rPr>
        <w:t xml:space="preserve">ontractor shall submit the PCP at least </w:t>
      </w:r>
      <w:r w:rsidDel="00000000" w:rsidR="00000000" w:rsidRPr="00000000">
        <w:rPr>
          <w:rFonts w:ascii="Trebuchet MS" w:cs="Trebuchet MS" w:eastAsia="Trebuchet MS" w:hAnsi="Trebuchet MS"/>
          <w:sz w:val="24"/>
          <w:szCs w:val="24"/>
          <w:rtl w:val="0"/>
        </w:rPr>
        <w:t xml:space="preserve">ten working</w:t>
      </w:r>
      <w:r w:rsidDel="00000000" w:rsidR="00000000" w:rsidRPr="00000000">
        <w:rPr>
          <w:rFonts w:ascii="Trebuchet MS" w:cs="Trebuchet MS" w:eastAsia="Trebuchet MS" w:hAnsi="Trebuchet MS"/>
          <w:color w:val="000000"/>
          <w:sz w:val="24"/>
          <w:szCs w:val="24"/>
          <w:rtl w:val="0"/>
        </w:rPr>
        <w:t xml:space="preserve"> days before the start of the work.  The Engineer’s review of the PCP will not exceed </w:t>
      </w:r>
      <w:r w:rsidDel="00000000" w:rsidR="00000000" w:rsidRPr="00000000">
        <w:rPr>
          <w:rFonts w:ascii="Trebuchet MS" w:cs="Trebuchet MS" w:eastAsia="Trebuchet MS" w:hAnsi="Trebuchet MS"/>
          <w:sz w:val="24"/>
          <w:szCs w:val="24"/>
          <w:rtl w:val="0"/>
        </w:rPr>
        <w:t xml:space="preserve">five</w:t>
      </w:r>
      <w:r w:rsidDel="00000000" w:rsidR="00000000" w:rsidRPr="00000000">
        <w:rPr>
          <w:rFonts w:ascii="Trebuchet MS" w:cs="Trebuchet MS" w:eastAsia="Trebuchet MS" w:hAnsi="Trebuchet MS"/>
          <w:color w:val="000000"/>
          <w:sz w:val="24"/>
          <w:szCs w:val="24"/>
          <w:rtl w:val="0"/>
        </w:rPr>
        <w:t xml:space="preserve"> working days.</w:t>
      </w:r>
      <w:r w:rsidDel="00000000" w:rsidR="00000000" w:rsidRPr="00000000">
        <w:rPr>
          <w:rFonts w:ascii="Trebuchet MS" w:cs="Trebuchet MS" w:eastAsia="Trebuchet MS" w:hAnsi="Trebuchet MS"/>
          <w:color w:val="000000"/>
          <w:sz w:val="24"/>
          <w:szCs w:val="24"/>
          <w:rtl w:val="0"/>
        </w:rPr>
        <w:t xml:space="preserve"> Work shall not begin until the PCP has been accepted in writing, unless otherwise approved.</w:t>
      </w:r>
    </w:p>
    <w:p w:rsidR="00000000" w:rsidDel="00000000" w:rsidP="00000000" w:rsidRDefault="00000000" w:rsidRPr="00000000" w14:paraId="0000001D">
      <w:pP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E">
      <w:pPr>
        <w:pStyle w:val="Heading1"/>
        <w:numPr>
          <w:ilvl w:val="0"/>
          <w:numId w:val="1"/>
        </w:numPr>
        <w:ind w:left="720" w:hanging="36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0"/>
          <w:bCs w:val="0"/>
          <w:i w:val="1"/>
          <w:iCs w:val="1"/>
          <w:rtl w:val="0"/>
        </w:rPr>
        <w:t xml:space="preserve">Documentation.</w:t>
      </w:r>
      <w:r w:rsidDel="00000000" w:rsidR="00000000" w:rsidRPr="00000000">
        <w:rPr>
          <w:rFonts w:ascii="Trebuchet MS" w:cs="Trebuchet MS" w:eastAsia="Trebuchet MS" w:hAnsi="Trebuchet MS"/>
          <w:b w:val="0"/>
          <w:bCs w:val="0"/>
          <w:rtl w:val="0"/>
        </w:rPr>
        <w:t xml:space="preserve"> The Contractor shall maintain current records of process control operation activities, observations made, and tests performed.  These records shall be in the form shown in the PCP and per CP-12C. The records shall be submitted to the Engineer on a daily basis documenting any earthwork-related activities from the prior day and shall include both conforming and defective or deficient features, all test results, inspection reports, and certification reports. Copies of these records and a statement that work incorporated in the project complies with the Contract shall be submitted to the Engineer before payment for the work or upon request. Monthly certification reports shall be stamped with the seal of a Professional Engineer registered in Colorado. Failure to provide the Engineer with the necessary documentation may result in the suspension of work and will result in the suspension of payments on embankment until the documentation has been completed and accepted by the Engineer.  CDOT Owner Acceptance testing and documentation shall not be used as supporting documentation for the Contractors certification.</w:t>
      </w:r>
      <w:r w:rsidDel="00000000" w:rsidR="00000000" w:rsidRPr="00000000">
        <w:rPr>
          <w:rFonts w:ascii="Trebuchet MS" w:cs="Trebuchet MS" w:eastAsia="Trebuchet MS" w:hAnsi="Trebuchet MS"/>
          <w:b w:val="0"/>
          <w:bCs w:val="0"/>
          <w:color w:val="000000"/>
          <w:rtl w:val="0"/>
        </w:rPr>
        <w:t xml:space="preserve"> CDOT or CDOT’s certified representative will be responsible for Quality Acceptance Testing (QAT) and </w:t>
      </w:r>
      <w:r w:rsidDel="00000000" w:rsidR="00000000" w:rsidRPr="00000000">
        <w:rPr>
          <w:rFonts w:ascii="Trebuchet MS" w:cs="Trebuchet MS" w:eastAsia="Trebuchet MS" w:hAnsi="Trebuchet MS"/>
          <w:b w:val="0"/>
          <w:bCs w:val="0"/>
          <w:rtl w:val="0"/>
        </w:rPr>
        <w:t xml:space="preserve">Independent</w:t>
      </w:r>
      <w:r w:rsidDel="00000000" w:rsidR="00000000" w:rsidRPr="00000000">
        <w:rPr>
          <w:rFonts w:ascii="Trebuchet MS" w:cs="Trebuchet MS" w:eastAsia="Trebuchet MS" w:hAnsi="Trebuchet MS"/>
          <w:b w:val="0"/>
          <w:bCs w:val="0"/>
          <w:color w:val="000000"/>
          <w:rtl w:val="0"/>
        </w:rPr>
        <w:t xml:space="preserve"> Assurance Testing (IAT).</w:t>
      </w:r>
      <w:r w:rsidDel="00000000" w:rsidR="00000000" w:rsidRPr="00000000">
        <w:rPr>
          <w:rtl w:val="0"/>
        </w:rPr>
      </w:r>
    </w:p>
    <w:p w:rsidR="00000000" w:rsidDel="00000000" w:rsidP="00000000" w:rsidRDefault="00000000" w:rsidRPr="00000000" w14:paraId="0000001F">
      <w:pPr>
        <w:rPr>
          <w:rFonts w:ascii="Trebuchet MS" w:cs="Trebuchet MS" w:eastAsia="Trebuchet MS" w:hAnsi="Trebuchet M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Revision of Sections 105, 106, and 203</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Conformity to the Contract of Embankment</w:t>
      </w:r>
    </w:p>
    <w:p w:rsidR="00000000" w:rsidDel="00000000" w:rsidP="00000000" w:rsidRDefault="00000000" w:rsidRPr="00000000" w14:paraId="00000022">
      <w:pPr>
        <w:ind w:left="720" w:firstLine="0"/>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3">
      <w:pPr>
        <w:jc w:val="both"/>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Add subsection 106.061, immediately following subsection 106.06, as follows:</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b w:val="1"/>
          <w:bCs w:val="1"/>
          <w:color w:val="000000"/>
          <w:sz w:val="24"/>
          <w:szCs w:val="24"/>
          <w:rtl w:val="0"/>
        </w:rPr>
        <w:t xml:space="preserve">106.061 Embankment Testing.</w:t>
      </w:r>
      <w:r w:rsidDel="00000000" w:rsidR="00000000" w:rsidRPr="00000000">
        <w:rPr>
          <w:rFonts w:ascii="Trebuchet MS" w:cs="Trebuchet MS" w:eastAsia="Trebuchet MS" w:hAnsi="Trebuchet MS"/>
          <w:color w:val="000000"/>
          <w:sz w:val="24"/>
          <w:szCs w:val="24"/>
          <w:rtl w:val="0"/>
        </w:rPr>
        <w:t xml:space="preserve"> The supervisor responsible for the direct supervision and implementation of process control sampling and testing shall be identified in the PCP and be qualified according to the requirements of CP-10.  The technicians taking samples and performing tests must be qualified according to requirements of CP 10. At least one technician with a minimum of one year of experience with soils testing and inspection of earthwork projects will be designated full time on the project, whenever embankment is being placed.  Absence of the process control technician will result in the suspension of work on the embankment until the technician is on site performing process control testing.</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The project verification sampling and testing procedures shown in the CDOT Field Materials Manual under the frequency guide schedule for minimum materials sampling, testing and inspection shall be used for the elements shown in Table 106-4.</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29">
      <w:pPr>
        <w:pStyle w:val="Heading6"/>
        <w:rPr>
          <w:rFonts w:ascii="Trebuchet MS" w:cs="Trebuchet MS" w:eastAsia="Trebuchet MS" w:hAnsi="Trebuchet MS"/>
        </w:rPr>
      </w:pPr>
      <w:r w:rsidDel="00000000" w:rsidR="00000000" w:rsidRPr="00000000">
        <w:rPr>
          <w:rFonts w:ascii="Trebuchet MS" w:cs="Trebuchet MS" w:eastAsia="Trebuchet MS" w:hAnsi="Trebuchet MS"/>
          <w:rtl w:val="0"/>
        </w:rPr>
        <w:t xml:space="preserve">Table 106-4</w:t>
      </w:r>
    </w:p>
    <w:p w:rsidR="00000000" w:rsidDel="00000000" w:rsidP="00000000" w:rsidRDefault="00000000" w:rsidRPr="00000000" w14:paraId="0000002A">
      <w:pPr>
        <w:jc w:val="center"/>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Excavation and Embankment Testing Schedule</w:t>
      </w:r>
    </w:p>
    <w:p w:rsidR="00000000" w:rsidDel="00000000" w:rsidP="00000000" w:rsidRDefault="00000000" w:rsidRPr="00000000" w14:paraId="0000002B">
      <w:pPr>
        <w:ind w:left="720" w:firstLine="0"/>
        <w:jc w:val="both"/>
        <w:rPr>
          <w:rFonts w:ascii="Trebuchet MS" w:cs="Trebuchet MS" w:eastAsia="Trebuchet MS" w:hAnsi="Trebuchet MS"/>
          <w:sz w:val="24"/>
          <w:szCs w:val="24"/>
        </w:rPr>
      </w:pPr>
      <w:r w:rsidDel="00000000" w:rsidR="00000000" w:rsidRPr="00000000">
        <w:rPr>
          <w:rtl w:val="0"/>
        </w:rPr>
      </w:r>
    </w:p>
    <w:tbl>
      <w:tblPr>
        <w:tblStyle w:val="Table1"/>
        <w:tblW w:w="103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2866"/>
        <w:gridCol w:w="3150"/>
        <w:gridCol w:w="2610"/>
        <w:tblGridChange w:id="0">
          <w:tblGrid>
            <w:gridCol w:w="1701"/>
            <w:gridCol w:w="2866"/>
            <w:gridCol w:w="3150"/>
            <w:gridCol w:w="2610"/>
          </w:tblGrid>
        </w:tblGridChange>
      </w:tblGrid>
      <w:tr>
        <w:trPr>
          <w:cantSplit w:val="1"/>
          <w:trHeight w:val="720" w:hRule="atLeast"/>
          <w:tblHeader w:val="1"/>
        </w:trPr>
        <w:tc>
          <w:tcPr>
            <w:tcBorders>
              <w:top w:color="000000" w:space="0" w:sz="18" w:val="single"/>
              <w:left w:color="000000" w:space="0" w:sz="18" w:val="single"/>
              <w:bottom w:color="000000" w:space="0" w:sz="18" w:val="single"/>
              <w:right w:color="000000" w:space="0" w:sz="18" w:val="single"/>
            </w:tcBorders>
            <w:shd w:fill="e6e6e6" w:val="clear"/>
          </w:tcPr>
          <w:p w:rsidR="00000000" w:rsidDel="00000000" w:rsidP="00000000" w:rsidRDefault="00000000" w:rsidRPr="00000000" w14:paraId="0000002C">
            <w:pPr>
              <w:jc w:val="center"/>
              <w:rPr>
                <w:rFonts w:ascii="Trebuchet MS" w:cs="Trebuchet MS" w:eastAsia="Trebuchet MS" w:hAnsi="Trebuchet MS"/>
                <w:b w:val="1"/>
                <w:bCs w:val="1"/>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e6e6e6" w:val="clear"/>
            <w:vAlign w:val="center"/>
          </w:tcPr>
          <w:p w:rsidR="00000000" w:rsidDel="00000000" w:rsidP="00000000" w:rsidRDefault="00000000" w:rsidRPr="00000000" w14:paraId="0000002D">
            <w:pPr>
              <w:jc w:val="center"/>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Element</w:t>
            </w:r>
          </w:p>
        </w:tc>
        <w:tc>
          <w:tcPr>
            <w:tcBorders>
              <w:top w:color="000000" w:space="0" w:sz="18" w:val="single"/>
              <w:left w:color="000000" w:space="0" w:sz="18" w:val="single"/>
              <w:bottom w:color="000000" w:space="0" w:sz="18" w:val="single"/>
              <w:right w:color="000000" w:space="0" w:sz="18" w:val="single"/>
            </w:tcBorders>
            <w:shd w:fill="e6e6e6" w:val="clear"/>
            <w:vAlign w:val="center"/>
          </w:tcPr>
          <w:p w:rsidR="00000000" w:rsidDel="00000000" w:rsidP="00000000" w:rsidRDefault="00000000" w:rsidRPr="00000000" w14:paraId="0000002E">
            <w:pPr>
              <w:jc w:val="center"/>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Minimum Testing Frequency </w:t>
              <w:br w:type="textWrapping"/>
              <w:t xml:space="preserve">Contractor’s Process Control</w:t>
            </w:r>
          </w:p>
        </w:tc>
        <w:tc>
          <w:tcPr>
            <w:tcBorders>
              <w:top w:color="000000" w:space="0" w:sz="18" w:val="single"/>
              <w:left w:color="000000" w:space="0" w:sz="18" w:val="single"/>
              <w:bottom w:color="000000" w:space="0" w:sz="18" w:val="single"/>
              <w:right w:color="000000" w:space="0" w:sz="18" w:val="single"/>
            </w:tcBorders>
            <w:shd w:fill="e6e6e6" w:val="clear"/>
            <w:vAlign w:val="center"/>
          </w:tcPr>
          <w:p w:rsidR="00000000" w:rsidDel="00000000" w:rsidP="00000000" w:rsidRDefault="00000000" w:rsidRPr="00000000" w14:paraId="0000002F">
            <w:pPr>
              <w:jc w:val="center"/>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Minimum Testing Frequency</w:t>
            </w:r>
          </w:p>
          <w:p w:rsidR="00000000" w:rsidDel="00000000" w:rsidP="00000000" w:rsidRDefault="00000000" w:rsidRPr="00000000" w14:paraId="00000030">
            <w:pPr>
              <w:jc w:val="center"/>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CDOT’s Owner Acceptance</w:t>
            </w:r>
          </w:p>
        </w:tc>
      </w:tr>
      <w:tr>
        <w:trPr>
          <w:cantSplit w:val="0"/>
          <w:trHeight w:val="576" w:hRule="atLeast"/>
          <w:tblHeader w:val="0"/>
        </w:trPr>
        <w:tc>
          <w:tcPr>
            <w:tcBorders>
              <w:top w:color="000000" w:space="0" w:sz="18" w:val="single"/>
              <w:left w:color="000000" w:space="0" w:sz="18" w:val="single"/>
              <w:bottom w:color="000000" w:space="0" w:sz="0" w:val="nil"/>
              <w:right w:color="000000" w:space="0" w:sz="18" w:val="single"/>
            </w:tcBorders>
          </w:tcPr>
          <w:p w:rsidR="00000000" w:rsidDel="00000000" w:rsidP="00000000" w:rsidRDefault="00000000" w:rsidRPr="00000000" w14:paraId="00000031">
            <w:pPr>
              <w:jc w:val="cente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Soil Embankment with &lt; 30% Retained on ¾-inch Sieve</w:t>
            </w:r>
          </w:p>
        </w:tc>
        <w:tc>
          <w:tcPr>
            <w:tcBorders>
              <w:top w:color="000000" w:space="0" w:sz="18" w:val="single"/>
              <w:left w:color="000000" w:space="0" w:sz="18" w:val="single"/>
            </w:tcBorders>
            <w:vAlign w:val="center"/>
          </w:tcPr>
          <w:p w:rsidR="00000000" w:rsidDel="00000000" w:rsidP="00000000" w:rsidRDefault="00000000" w:rsidRPr="00000000" w14:paraId="00000032">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In-place Density / Relative Compaction</w:t>
            </w:r>
          </w:p>
        </w:tc>
        <w:tc>
          <w:tcPr>
            <w:tcBorders>
              <w:top w:color="000000" w:space="0" w:sz="18" w:val="single"/>
            </w:tcBorders>
            <w:vAlign w:val="center"/>
          </w:tcPr>
          <w:p w:rsidR="00000000" w:rsidDel="00000000" w:rsidP="00000000" w:rsidRDefault="00000000" w:rsidRPr="00000000" w14:paraId="00000033">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per 500 cu yds. or fraction thereof, with one additional test required per change in material type.</w:t>
            </w:r>
          </w:p>
        </w:tc>
        <w:tc>
          <w:tcPr>
            <w:tcBorders>
              <w:top w:color="000000" w:space="0" w:sz="18" w:val="single"/>
              <w:right w:color="000000" w:space="0" w:sz="18" w:val="single"/>
            </w:tcBorders>
            <w:vAlign w:val="center"/>
          </w:tcPr>
          <w:p w:rsidR="00000000" w:rsidDel="00000000" w:rsidP="00000000" w:rsidRDefault="00000000" w:rsidRPr="00000000" w14:paraId="00000034">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per 1,000 cu yds. or fraction thereof, with one additional test required per change in material type. </w:t>
            </w:r>
          </w:p>
        </w:tc>
      </w:tr>
      <w:tr>
        <w:trPr>
          <w:cantSplit w:val="0"/>
          <w:trHeight w:val="576" w:hRule="atLeast"/>
          <w:tblHeader w:val="0"/>
        </w:trPr>
        <w:tc>
          <w:tcPr>
            <w:tcBorders>
              <w:top w:color="000000" w:space="0" w:sz="0" w:val="nil"/>
              <w:left w:color="000000" w:space="0" w:sz="18" w:val="single"/>
              <w:bottom w:color="000000" w:space="0" w:sz="0" w:val="nil"/>
              <w:right w:color="000000" w:space="0" w:sz="18" w:val="single"/>
            </w:tcBorders>
          </w:tcPr>
          <w:p w:rsidR="00000000" w:rsidDel="00000000" w:rsidP="00000000" w:rsidRDefault="00000000" w:rsidRPr="00000000" w14:paraId="00000035">
            <w:pPr>
              <w:jc w:val="center"/>
              <w:rPr>
                <w:rFonts w:ascii="Trebuchet MS" w:cs="Trebuchet MS" w:eastAsia="Trebuchet MS" w:hAnsi="Trebuchet MS"/>
                <w:sz w:val="24"/>
                <w:szCs w:val="24"/>
              </w:rPr>
            </w:pPr>
            <w:r w:rsidDel="00000000" w:rsidR="00000000" w:rsidRPr="00000000">
              <w:rPr>
                <w:rtl w:val="0"/>
              </w:rPr>
            </w:r>
          </w:p>
        </w:tc>
        <w:tc>
          <w:tcPr>
            <w:tcBorders>
              <w:left w:color="000000" w:space="0" w:sz="18" w:val="single"/>
            </w:tcBorders>
            <w:vAlign w:val="center"/>
          </w:tcPr>
          <w:p w:rsidR="00000000" w:rsidDel="00000000" w:rsidP="00000000" w:rsidRDefault="00000000" w:rsidRPr="00000000" w14:paraId="00000036">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In-place Density / Relative Compaction within 100 feet of bridge approach.</w:t>
            </w:r>
          </w:p>
        </w:tc>
        <w:tc>
          <w:tcPr>
            <w:vAlign w:val="center"/>
          </w:tcPr>
          <w:p w:rsidR="00000000" w:rsidDel="00000000" w:rsidP="00000000" w:rsidRDefault="00000000" w:rsidRPr="00000000" w14:paraId="00000037">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per 250 cu yds. with a minimum of two tests per lift, and one additional test required per change in material type.</w:t>
            </w:r>
          </w:p>
        </w:tc>
        <w:tc>
          <w:tcPr>
            <w:tcBorders>
              <w:right w:color="000000" w:space="0" w:sz="18" w:val="single"/>
            </w:tcBorders>
            <w:vAlign w:val="center"/>
          </w:tcPr>
          <w:p w:rsidR="00000000" w:rsidDel="00000000" w:rsidP="00000000" w:rsidRDefault="00000000" w:rsidRPr="00000000" w14:paraId="00000038">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per 500 cu yds. with minimum one test per lift, and one additional test required per change in material type.</w:t>
            </w:r>
          </w:p>
        </w:tc>
      </w:tr>
      <w:tr>
        <w:trPr>
          <w:cantSplit w:val="0"/>
          <w:trHeight w:val="576" w:hRule="atLeast"/>
          <w:tblHeader w:val="0"/>
        </w:trPr>
        <w:tc>
          <w:tcPr>
            <w:tcBorders>
              <w:top w:color="000000" w:space="0" w:sz="0" w:val="nil"/>
              <w:left w:color="000000" w:space="0" w:sz="18" w:val="single"/>
              <w:bottom w:color="000000" w:space="0" w:sz="0" w:val="nil"/>
              <w:right w:color="000000" w:space="0" w:sz="18" w:val="single"/>
            </w:tcBorders>
          </w:tcPr>
          <w:p w:rsidR="00000000" w:rsidDel="00000000" w:rsidP="00000000" w:rsidRDefault="00000000" w:rsidRPr="00000000" w14:paraId="00000039">
            <w:pPr>
              <w:jc w:val="center"/>
              <w:rPr>
                <w:rFonts w:ascii="Trebuchet MS" w:cs="Trebuchet MS" w:eastAsia="Trebuchet MS" w:hAnsi="Trebuchet MS"/>
                <w:sz w:val="24"/>
                <w:szCs w:val="24"/>
              </w:rPr>
            </w:pPr>
            <w:r w:rsidDel="00000000" w:rsidR="00000000" w:rsidRPr="00000000">
              <w:rPr>
                <w:rtl w:val="0"/>
              </w:rPr>
            </w:r>
          </w:p>
        </w:tc>
        <w:tc>
          <w:tcPr>
            <w:tcBorders>
              <w:left w:color="000000" w:space="0" w:sz="18" w:val="single"/>
            </w:tcBorders>
            <w:vAlign w:val="center"/>
          </w:tcPr>
          <w:p w:rsidR="00000000" w:rsidDel="00000000" w:rsidP="00000000" w:rsidRDefault="00000000" w:rsidRPr="00000000" w14:paraId="0000003A">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Moisture Density Curve</w:t>
            </w:r>
          </w:p>
        </w:tc>
        <w:tc>
          <w:tcPr>
            <w:vAlign w:val="center"/>
          </w:tcPr>
          <w:p w:rsidR="00000000" w:rsidDel="00000000" w:rsidP="00000000" w:rsidRDefault="00000000" w:rsidRPr="00000000" w14:paraId="0000003B">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per 10,000 cu yds. </w:t>
            </w:r>
            <w:r w:rsidDel="00000000" w:rsidR="00000000" w:rsidRPr="00000000">
              <w:rPr>
                <w:rFonts w:ascii="Trebuchet MS" w:cs="Trebuchet MS" w:eastAsia="Trebuchet MS" w:hAnsi="Trebuchet MS"/>
                <w:sz w:val="24"/>
                <w:szCs w:val="24"/>
                <w:rtl w:val="0"/>
              </w:rPr>
              <w:t xml:space="preserve">or fraction thereof,</w:t>
            </w:r>
            <w:r w:rsidDel="00000000" w:rsidR="00000000" w:rsidRPr="00000000">
              <w:rPr>
                <w:rFonts w:ascii="Trebuchet MS" w:cs="Trebuchet MS" w:eastAsia="Trebuchet MS" w:hAnsi="Trebuchet MS"/>
                <w:sz w:val="24"/>
                <w:szCs w:val="24"/>
                <w:rtl w:val="0"/>
              </w:rPr>
              <w:t xml:space="preserve"> with one additional test required per change in material type.</w:t>
            </w:r>
          </w:p>
        </w:tc>
        <w:tc>
          <w:tcPr>
            <w:tcBorders>
              <w:right w:color="000000" w:space="0" w:sz="18" w:val="single"/>
            </w:tcBorders>
            <w:vAlign w:val="center"/>
          </w:tcPr>
          <w:p w:rsidR="00000000" w:rsidDel="00000000" w:rsidP="00000000" w:rsidRDefault="00000000" w:rsidRPr="00000000" w14:paraId="0000003C">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per soil type.  </w:t>
            </w:r>
          </w:p>
        </w:tc>
      </w:tr>
      <w:tr>
        <w:trPr>
          <w:cantSplit w:val="0"/>
          <w:trHeight w:val="576" w:hRule="atLeast"/>
          <w:tblHeader w:val="0"/>
        </w:trPr>
        <w:tc>
          <w:tcPr>
            <w:tcBorders>
              <w:top w:color="000000" w:space="0" w:sz="0" w:val="nil"/>
              <w:left w:color="000000" w:space="0" w:sz="18" w:val="single"/>
              <w:bottom w:color="000000" w:space="0" w:sz="0" w:val="nil"/>
              <w:right w:color="000000" w:space="0" w:sz="18" w:val="single"/>
            </w:tcBorders>
          </w:tcPr>
          <w:p w:rsidR="00000000" w:rsidDel="00000000" w:rsidP="00000000" w:rsidRDefault="00000000" w:rsidRPr="00000000" w14:paraId="0000003D">
            <w:pPr>
              <w:jc w:val="center"/>
              <w:rPr>
                <w:rFonts w:ascii="Trebuchet MS" w:cs="Trebuchet MS" w:eastAsia="Trebuchet MS" w:hAnsi="Trebuchet MS"/>
                <w:sz w:val="24"/>
                <w:szCs w:val="24"/>
              </w:rPr>
            </w:pPr>
            <w:r w:rsidDel="00000000" w:rsidR="00000000" w:rsidRPr="00000000">
              <w:rPr>
                <w:rtl w:val="0"/>
              </w:rPr>
            </w:r>
          </w:p>
        </w:tc>
        <w:tc>
          <w:tcPr>
            <w:tcBorders>
              <w:left w:color="000000" w:space="0" w:sz="18" w:val="single"/>
            </w:tcBorders>
            <w:vAlign w:val="center"/>
          </w:tcPr>
          <w:p w:rsidR="00000000" w:rsidDel="00000000" w:rsidP="00000000" w:rsidRDefault="00000000" w:rsidRPr="00000000" w14:paraId="0000003E">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Moisture Density One-Point Verification</w:t>
            </w:r>
          </w:p>
        </w:tc>
        <w:tc>
          <w:tcPr>
            <w:vAlign w:val="center"/>
          </w:tcPr>
          <w:p w:rsidR="00000000" w:rsidDel="00000000" w:rsidP="00000000" w:rsidRDefault="00000000" w:rsidRPr="00000000" w14:paraId="0000003F">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per 2,000 cu yds. </w:t>
            </w:r>
            <w:r w:rsidDel="00000000" w:rsidR="00000000" w:rsidRPr="00000000">
              <w:rPr>
                <w:rFonts w:ascii="Trebuchet MS" w:cs="Trebuchet MS" w:eastAsia="Trebuchet MS" w:hAnsi="Trebuchet MS"/>
                <w:sz w:val="24"/>
                <w:szCs w:val="24"/>
                <w:rtl w:val="0"/>
              </w:rPr>
              <w:t xml:space="preserve">or fraction thereof</w:t>
            </w:r>
            <w:r w:rsidDel="00000000" w:rsidR="00000000" w:rsidRPr="00000000">
              <w:rPr>
                <w:rFonts w:ascii="Trebuchet MS" w:cs="Trebuchet MS" w:eastAsia="Trebuchet MS" w:hAnsi="Trebuchet MS"/>
                <w:sz w:val="24"/>
                <w:szCs w:val="24"/>
                <w:rtl w:val="0"/>
              </w:rPr>
              <w:t xml:space="preserve">, with one additional test per change in material type.  Minimum of one test per day.  </w:t>
            </w:r>
          </w:p>
        </w:tc>
        <w:tc>
          <w:tcPr>
            <w:tcBorders>
              <w:right w:color="000000" w:space="0" w:sz="18" w:val="single"/>
            </w:tcBorders>
            <w:vAlign w:val="center"/>
          </w:tcPr>
          <w:p w:rsidR="00000000" w:rsidDel="00000000" w:rsidP="00000000" w:rsidRDefault="00000000" w:rsidRPr="00000000" w14:paraId="00000040">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per 5,000 cu yds. </w:t>
            </w:r>
            <w:r w:rsidDel="00000000" w:rsidR="00000000" w:rsidRPr="00000000">
              <w:rPr>
                <w:rFonts w:ascii="Trebuchet MS" w:cs="Trebuchet MS" w:eastAsia="Trebuchet MS" w:hAnsi="Trebuchet MS"/>
                <w:sz w:val="24"/>
                <w:szCs w:val="24"/>
                <w:rtl w:val="0"/>
              </w:rPr>
              <w:t xml:space="preserve">or fraction thereof</w:t>
            </w:r>
            <w:r w:rsidDel="00000000" w:rsidR="00000000" w:rsidRPr="00000000">
              <w:rPr>
                <w:rtl w:val="0"/>
              </w:rPr>
            </w:r>
          </w:p>
        </w:tc>
      </w:tr>
      <w:tr>
        <w:trPr>
          <w:cantSplit w:val="0"/>
          <w:trHeight w:val="576" w:hRule="atLeast"/>
          <w:tblHeader w:val="0"/>
        </w:trPr>
        <w:tc>
          <w:tcPr>
            <w:tcBorders>
              <w:top w:color="000000" w:space="0" w:sz="0" w:val="nil"/>
              <w:left w:color="000000" w:space="0" w:sz="18" w:val="single"/>
              <w:bottom w:color="000000" w:space="0" w:sz="18" w:val="single"/>
              <w:right w:color="000000" w:space="0" w:sz="18" w:val="single"/>
            </w:tcBorders>
          </w:tcPr>
          <w:p w:rsidR="00000000" w:rsidDel="00000000" w:rsidP="00000000" w:rsidRDefault="00000000" w:rsidRPr="00000000" w14:paraId="00000041">
            <w:pPr>
              <w:jc w:val="center"/>
              <w:rPr>
                <w:rFonts w:ascii="Trebuchet MS" w:cs="Trebuchet MS" w:eastAsia="Trebuchet MS" w:hAnsi="Trebuchet MS"/>
                <w:sz w:val="24"/>
                <w:szCs w:val="24"/>
              </w:rPr>
            </w:pPr>
            <w:r w:rsidDel="00000000" w:rsidR="00000000" w:rsidRPr="00000000">
              <w:rPr>
                <w:rtl w:val="0"/>
              </w:rPr>
            </w:r>
          </w:p>
        </w:tc>
        <w:tc>
          <w:tcPr>
            <w:tcBorders>
              <w:left w:color="000000" w:space="0" w:sz="18" w:val="single"/>
              <w:bottom w:color="000000" w:space="0" w:sz="18" w:val="single"/>
            </w:tcBorders>
            <w:vAlign w:val="center"/>
          </w:tcPr>
          <w:p w:rsidR="00000000" w:rsidDel="00000000" w:rsidP="00000000" w:rsidRDefault="00000000" w:rsidRPr="00000000" w14:paraId="00000042">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Soil Classification (AASHTO M145), Gradation, and Atterberg Limits</w:t>
            </w:r>
          </w:p>
        </w:tc>
        <w:tc>
          <w:tcPr>
            <w:tcBorders>
              <w:bottom w:color="000000" w:space="0" w:sz="18" w:val="single"/>
            </w:tcBorders>
            <w:vAlign w:val="center"/>
          </w:tcPr>
          <w:p w:rsidR="00000000" w:rsidDel="00000000" w:rsidP="00000000" w:rsidRDefault="00000000" w:rsidRPr="00000000" w14:paraId="00000043">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per 2,000 cu yds, with one additional test per change in material type.  Minimum of one test per day.  </w:t>
            </w:r>
          </w:p>
        </w:tc>
        <w:tc>
          <w:tcPr>
            <w:tcBorders>
              <w:bottom w:color="000000" w:space="0" w:sz="18" w:val="single"/>
              <w:right w:color="000000" w:space="0" w:sz="18" w:val="single"/>
            </w:tcBorders>
            <w:vAlign w:val="center"/>
          </w:tcPr>
          <w:p w:rsidR="00000000" w:rsidDel="00000000" w:rsidP="00000000" w:rsidRDefault="00000000" w:rsidRPr="00000000" w14:paraId="00000044">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per soil type.</w:t>
            </w:r>
          </w:p>
        </w:tc>
      </w:tr>
      <w:tr>
        <w:trPr>
          <w:cantSplit w:val="0"/>
          <w:trHeight w:val="576" w:hRule="atLeast"/>
          <w:tblHeader w:val="0"/>
        </w:trPr>
        <w:tc>
          <w:tcPr>
            <w:tcBorders>
              <w:top w:color="000000" w:space="0" w:sz="18" w:val="single"/>
              <w:left w:color="000000" w:space="0" w:sz="18" w:val="single"/>
              <w:bottom w:color="000000" w:space="0" w:sz="0" w:val="nil"/>
              <w:right w:color="000000" w:space="0" w:sz="18" w:val="single"/>
            </w:tcBorders>
          </w:tcPr>
          <w:p w:rsidR="00000000" w:rsidDel="00000000" w:rsidP="00000000" w:rsidRDefault="00000000" w:rsidRPr="00000000" w14:paraId="00000045">
            <w:pPr>
              <w:jc w:val="cente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Soil Embankment with &gt; 30% Retained on ¾-inch Sieve, Rock Embankment, &amp; Rock Fill</w:t>
            </w:r>
          </w:p>
        </w:tc>
        <w:tc>
          <w:tcPr>
            <w:tcBorders>
              <w:top w:color="000000" w:space="0" w:sz="18" w:val="single"/>
              <w:left w:color="000000" w:space="0" w:sz="18" w:val="single"/>
            </w:tcBorders>
            <w:vAlign w:val="center"/>
          </w:tcPr>
          <w:p w:rsidR="00000000" w:rsidDel="00000000" w:rsidP="00000000" w:rsidRDefault="00000000" w:rsidRPr="00000000" w14:paraId="00000046">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Test Strip Construction and Acceptance</w:t>
            </w:r>
          </w:p>
        </w:tc>
        <w:tc>
          <w:tcPr>
            <w:tcBorders>
              <w:top w:color="000000" w:space="0" w:sz="18" w:val="single"/>
            </w:tcBorders>
            <w:vAlign w:val="center"/>
          </w:tcPr>
          <w:p w:rsidR="00000000" w:rsidDel="00000000" w:rsidP="00000000" w:rsidRDefault="00000000" w:rsidRPr="00000000" w14:paraId="00000047">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test strip required per change in material type. </w:t>
            </w:r>
          </w:p>
        </w:tc>
        <w:tc>
          <w:tcPr>
            <w:tcBorders>
              <w:top w:color="000000" w:space="0" w:sz="18" w:val="single"/>
              <w:right w:color="000000" w:space="0" w:sz="18" w:val="single"/>
            </w:tcBorders>
            <w:vAlign w:val="center"/>
          </w:tcPr>
          <w:p w:rsidR="00000000" w:rsidDel="00000000" w:rsidP="00000000" w:rsidRDefault="00000000" w:rsidRPr="00000000" w14:paraId="00000048">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Observation and acceptance of roller pattern, moisture conditioning, and proof rolling.</w:t>
            </w:r>
          </w:p>
        </w:tc>
      </w:tr>
      <w:tr>
        <w:trPr>
          <w:cantSplit w:val="0"/>
          <w:trHeight w:val="576" w:hRule="atLeast"/>
          <w:tblHeader w:val="0"/>
        </w:trPr>
        <w:tc>
          <w:tcPr>
            <w:tcBorders>
              <w:top w:color="000000" w:space="0" w:sz="0" w:val="nil"/>
              <w:left w:color="000000" w:space="0" w:sz="18" w:val="single"/>
              <w:bottom w:color="000000" w:space="0" w:sz="0" w:val="nil"/>
              <w:right w:color="000000" w:space="0" w:sz="18" w:val="single"/>
            </w:tcBorders>
          </w:tcPr>
          <w:p w:rsidR="00000000" w:rsidDel="00000000" w:rsidP="00000000" w:rsidRDefault="00000000" w:rsidRPr="00000000" w14:paraId="00000049">
            <w:pPr>
              <w:jc w:val="center"/>
              <w:rPr>
                <w:rFonts w:ascii="Trebuchet MS" w:cs="Trebuchet MS" w:eastAsia="Trebuchet MS" w:hAnsi="Trebuchet MS"/>
                <w:sz w:val="24"/>
                <w:szCs w:val="24"/>
              </w:rPr>
            </w:pPr>
            <w:r w:rsidDel="00000000" w:rsidR="00000000" w:rsidRPr="00000000">
              <w:rPr>
                <w:rtl w:val="0"/>
              </w:rPr>
            </w:r>
          </w:p>
        </w:tc>
        <w:tc>
          <w:tcPr>
            <w:tcBorders>
              <w:left w:color="000000" w:space="0" w:sz="18" w:val="single"/>
            </w:tcBorders>
            <w:vAlign w:val="center"/>
          </w:tcPr>
          <w:p w:rsidR="00000000" w:rsidDel="00000000" w:rsidP="00000000" w:rsidRDefault="00000000" w:rsidRPr="00000000" w14:paraId="0000004A">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Soil Classification (AASHTO M145), Gradation and Atterberg Limits</w:t>
            </w:r>
          </w:p>
        </w:tc>
        <w:tc>
          <w:tcPr>
            <w:vAlign w:val="center"/>
          </w:tcPr>
          <w:p w:rsidR="00000000" w:rsidDel="00000000" w:rsidP="00000000" w:rsidRDefault="00000000" w:rsidRPr="00000000" w14:paraId="0000004B">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per 2,000 cu yds, with one additional test per change in material type.  Minimum of one test per day.  </w:t>
            </w:r>
          </w:p>
        </w:tc>
        <w:tc>
          <w:tcPr>
            <w:tcBorders>
              <w:right w:color="000000" w:space="0" w:sz="18" w:val="single"/>
            </w:tcBorders>
            <w:vAlign w:val="center"/>
          </w:tcPr>
          <w:p w:rsidR="00000000" w:rsidDel="00000000" w:rsidP="00000000" w:rsidRDefault="00000000" w:rsidRPr="00000000" w14:paraId="0000004C">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per soil type.  </w:t>
            </w:r>
          </w:p>
        </w:tc>
      </w:tr>
      <w:tr>
        <w:trPr>
          <w:cantSplit w:val="0"/>
          <w:trHeight w:val="576" w:hRule="atLeast"/>
          <w:tblHeader w:val="0"/>
        </w:trPr>
        <w:tc>
          <w:tcPr>
            <w:tcBorders>
              <w:top w:color="000000" w:space="0" w:sz="0" w:val="nil"/>
              <w:left w:color="000000" w:space="0" w:sz="18" w:val="single"/>
              <w:bottom w:color="000000" w:space="0" w:sz="18" w:val="single"/>
              <w:right w:color="000000" w:space="0" w:sz="18" w:val="single"/>
            </w:tcBorders>
          </w:tcPr>
          <w:p w:rsidR="00000000" w:rsidDel="00000000" w:rsidP="00000000" w:rsidRDefault="00000000" w:rsidRPr="00000000" w14:paraId="0000004D">
            <w:pPr>
              <w:jc w:val="center"/>
              <w:rPr>
                <w:rFonts w:ascii="Trebuchet MS" w:cs="Trebuchet MS" w:eastAsia="Trebuchet MS" w:hAnsi="Trebuchet MS"/>
                <w:sz w:val="24"/>
                <w:szCs w:val="24"/>
              </w:rPr>
            </w:pPr>
            <w:r w:rsidDel="00000000" w:rsidR="00000000" w:rsidRPr="00000000">
              <w:rPr>
                <w:rtl w:val="0"/>
              </w:rPr>
            </w:r>
          </w:p>
        </w:tc>
        <w:tc>
          <w:tcPr>
            <w:tcBorders>
              <w:left w:color="000000" w:space="0" w:sz="18" w:val="single"/>
              <w:bottom w:color="000000" w:space="0" w:sz="18" w:val="single"/>
            </w:tcBorders>
            <w:vAlign w:val="center"/>
          </w:tcPr>
          <w:p w:rsidR="00000000" w:rsidDel="00000000" w:rsidP="00000000" w:rsidRDefault="00000000" w:rsidRPr="00000000" w14:paraId="0000004E">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Slake Durability</w:t>
            </w:r>
          </w:p>
        </w:tc>
        <w:tc>
          <w:tcPr>
            <w:tcBorders>
              <w:bottom w:color="000000" w:space="0" w:sz="18" w:val="single"/>
            </w:tcBorders>
            <w:vAlign w:val="center"/>
          </w:tcPr>
          <w:p w:rsidR="00000000" w:rsidDel="00000000" w:rsidP="00000000" w:rsidRDefault="00000000" w:rsidRPr="00000000" w14:paraId="0000004F">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per 2,000 cu yds, with one additional test per change in material type.  Minimum of one test per day  </w:t>
            </w:r>
          </w:p>
          <w:p w:rsidR="00000000" w:rsidDel="00000000" w:rsidP="00000000" w:rsidRDefault="00000000" w:rsidRPr="00000000" w14:paraId="00000050">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(for sedimentary rock only).</w:t>
            </w:r>
          </w:p>
        </w:tc>
        <w:tc>
          <w:tcPr>
            <w:tcBorders>
              <w:bottom w:color="000000" w:space="0" w:sz="18" w:val="single"/>
              <w:right w:color="000000" w:space="0" w:sz="18" w:val="single"/>
            </w:tcBorders>
            <w:vAlign w:val="center"/>
          </w:tcPr>
          <w:p w:rsidR="00000000" w:rsidDel="00000000" w:rsidP="00000000" w:rsidRDefault="00000000" w:rsidRPr="00000000" w14:paraId="00000051">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per stockpile / borrow source and 1 per material type for sedimentary rock only.  </w:t>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Qualifications for testing and personnel are contained in Section 203, Chapter 200 of the CDOT Field Materials Manual, CP-10, CP 13, CP 15, and CP 80, and the CDOT Inspectors Checklist.</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b w:val="1"/>
          <w:bCs w:val="1"/>
          <w:color w:val="000000"/>
          <w:sz w:val="24"/>
          <w:szCs w:val="24"/>
        </w:rPr>
      </w:pPr>
      <w:r w:rsidDel="00000000" w:rsidR="00000000" w:rsidRPr="00000000">
        <w:rPr>
          <w:rFonts w:ascii="Trebuchet MS" w:cs="Trebuchet MS" w:eastAsia="Trebuchet MS" w:hAnsi="Trebuchet MS"/>
          <w:b w:val="1"/>
          <w:bCs w:val="1"/>
          <w:color w:val="000000"/>
          <w:sz w:val="24"/>
          <w:szCs w:val="24"/>
          <w:rtl w:val="0"/>
        </w:rPr>
        <w:t xml:space="preserve">Subsection 203.02 (a) shall include the following:</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Unclassified Excavation shall include</w:t>
      </w:r>
      <w:r w:rsidDel="00000000" w:rsidR="00000000" w:rsidRPr="00000000">
        <w:rPr>
          <w:rFonts w:ascii="Trebuchet MS" w:cs="Trebuchet MS" w:eastAsia="Trebuchet MS" w:hAnsi="Trebuchet MS"/>
          <w:color w:val="ff0000"/>
          <w:sz w:val="24"/>
          <w:szCs w:val="24"/>
          <w:rtl w:val="0"/>
        </w:rPr>
        <w:t xml:space="preserve"> </w:t>
      </w:r>
      <w:r w:rsidDel="00000000" w:rsidR="00000000" w:rsidRPr="00000000">
        <w:rPr>
          <w:rFonts w:ascii="Trebuchet MS" w:cs="Trebuchet MS" w:eastAsia="Trebuchet MS" w:hAnsi="Trebuchet MS"/>
          <w:color w:val="000000"/>
          <w:sz w:val="24"/>
          <w:szCs w:val="24"/>
          <w:rtl w:val="0"/>
        </w:rPr>
        <w:t xml:space="preserve">removal of unstable </w:t>
      </w:r>
      <w:r w:rsidDel="00000000" w:rsidR="00000000" w:rsidRPr="00000000">
        <w:rPr>
          <w:rFonts w:ascii="Trebuchet MS" w:cs="Trebuchet MS" w:eastAsia="Trebuchet MS" w:hAnsi="Trebuchet MS"/>
          <w:color w:val="000000"/>
          <w:sz w:val="24"/>
          <w:szCs w:val="24"/>
          <w:rtl w:val="0"/>
        </w:rPr>
        <w:t xml:space="preserve">material</w:t>
      </w:r>
      <w:r w:rsidDel="00000000" w:rsidR="00000000" w:rsidRPr="00000000">
        <w:rPr>
          <w:rFonts w:ascii="Trebuchet MS" w:cs="Trebuchet MS" w:eastAsia="Trebuchet MS" w:hAnsi="Trebuchet MS"/>
          <w:color w:val="000000"/>
          <w:sz w:val="24"/>
          <w:szCs w:val="24"/>
          <w:rtl w:val="0"/>
        </w:rPr>
        <w:t xml:space="preserve"> within the roadway as determined and directed by the Engineer. </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b w:val="1"/>
          <w:bCs w:val="1"/>
          <w:color w:val="000000"/>
          <w:sz w:val="24"/>
          <w:szCs w:val="24"/>
        </w:rPr>
      </w:pPr>
      <w:r w:rsidDel="00000000" w:rsidR="00000000" w:rsidRPr="00000000">
        <w:rPr>
          <w:rFonts w:ascii="Trebuchet MS" w:cs="Trebuchet MS" w:eastAsia="Trebuchet MS" w:hAnsi="Trebuchet MS"/>
          <w:b w:val="1"/>
          <w:bCs w:val="1"/>
          <w:color w:val="000000"/>
          <w:sz w:val="24"/>
          <w:szCs w:val="24"/>
          <w:rtl w:val="0"/>
        </w:rPr>
        <w:t xml:space="preserve">Subsection 203.02 (c) shall include the following:</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Embankment material containing significantly more than optimum moisture that would become stable if dried shall not be unsuitable material.</w:t>
      </w:r>
    </w:p>
    <w:p w:rsidR="00000000" w:rsidDel="00000000" w:rsidP="00000000" w:rsidRDefault="00000000" w:rsidRPr="00000000" w14:paraId="0000005C">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Revision of Sections 105, 106, and 203</w:t>
      </w:r>
    </w:p>
    <w:p w:rsidR="00000000" w:rsidDel="00000000" w:rsidP="00000000" w:rsidRDefault="00000000" w:rsidRPr="00000000" w14:paraId="0000005D">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Conformity to the Contract of Embankment</w:t>
      </w:r>
    </w:p>
    <w:p w:rsidR="00000000" w:rsidDel="00000000" w:rsidP="00000000" w:rsidRDefault="00000000" w:rsidRPr="00000000" w14:paraId="0000005E">
      <w:pP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b w:val="1"/>
          <w:bCs w:val="1"/>
          <w:color w:val="000000"/>
          <w:sz w:val="24"/>
          <w:szCs w:val="24"/>
        </w:rPr>
      </w:pPr>
      <w:r w:rsidDel="00000000" w:rsidR="00000000" w:rsidRPr="00000000">
        <w:rPr>
          <w:rFonts w:ascii="Trebuchet MS" w:cs="Trebuchet MS" w:eastAsia="Trebuchet MS" w:hAnsi="Trebuchet MS"/>
          <w:b w:val="1"/>
          <w:bCs w:val="1"/>
          <w:color w:val="000000"/>
          <w:sz w:val="24"/>
          <w:szCs w:val="24"/>
          <w:rtl w:val="0"/>
        </w:rPr>
        <w:t xml:space="preserve">Subsection 203.11 (b) shall include the following:</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The disposal of unsuitable material and replacement of embankment will not be measured and paid for separately but shall be included in the work.</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right" w:leader="none" w:pos="9360"/>
        </w:tabs>
        <w:ind w:left="720" w:firstLine="0"/>
        <w:jc w:val="both"/>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right" w:leader="none" w:pos="9360"/>
        </w:tabs>
        <w:jc w:val="both"/>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The Contractor’s Process Control efforts will not be measured and paid for separately but shall be included in the work.</w:t>
      </w:r>
    </w:p>
    <w:p w:rsidR="00000000" w:rsidDel="00000000" w:rsidP="00000000" w:rsidRDefault="00000000" w:rsidRPr="00000000" w14:paraId="00000065">
      <w:pPr>
        <w:jc w:val="both"/>
        <w:rPr>
          <w:rFonts w:ascii="Trebuchet MS" w:cs="Trebuchet MS" w:eastAsia="Trebuchet MS" w:hAnsi="Trebuchet MS"/>
          <w:strike w:val="1"/>
          <w:sz w:val="24"/>
          <w:szCs w:val="24"/>
        </w:rPr>
      </w:pPr>
      <w:r w:rsidDel="00000000" w:rsidR="00000000" w:rsidRPr="00000000">
        <w:rPr>
          <w:rtl w:val="0"/>
        </w:rPr>
      </w:r>
    </w:p>
    <w:p w:rsidR="00000000" w:rsidDel="00000000" w:rsidP="00000000" w:rsidRDefault="00000000" w:rsidRPr="00000000" w14:paraId="00000066">
      <w:pPr>
        <w:jc w:val="both"/>
        <w:rPr>
          <w:rFonts w:ascii="Trebuchet MS" w:cs="Trebuchet MS" w:eastAsia="Trebuchet MS" w:hAnsi="Trebuchet MS"/>
          <w:b w:val="1"/>
          <w:bCs w:val="1"/>
          <w:color w:val="800000"/>
          <w:sz w:val="24"/>
          <w:szCs w:val="24"/>
        </w:rPr>
      </w:pPr>
      <w:r w:rsidDel="00000000" w:rsidR="00000000" w:rsidRPr="00000000">
        <w:rPr>
          <w:rFonts w:ascii="Trebuchet MS" w:cs="Trebuchet MS" w:eastAsia="Trebuchet MS" w:hAnsi="Trebuchet MS"/>
          <w:color w:val="800000"/>
          <w:sz w:val="24"/>
          <w:szCs w:val="24"/>
          <w:rtl w:val="0"/>
        </w:rPr>
        <w:t xml:space="preserve">*******************************************************************************************</w:t>
      </w:r>
      <w:r w:rsidDel="00000000" w:rsidR="00000000" w:rsidRPr="00000000">
        <w:rPr>
          <w:rtl w:val="0"/>
        </w:rPr>
      </w:r>
    </w:p>
    <w:p w:rsidR="00000000" w:rsidDel="00000000" w:rsidP="00000000" w:rsidRDefault="00000000" w:rsidRPr="00000000" w14:paraId="00000067">
      <w:pPr>
        <w:jc w:val="both"/>
        <w:rPr>
          <w:rFonts w:ascii="Trebuchet MS" w:cs="Trebuchet MS" w:eastAsia="Trebuchet MS" w:hAnsi="Trebuchet MS"/>
          <w:color w:val="800000"/>
          <w:sz w:val="24"/>
          <w:szCs w:val="24"/>
        </w:rPr>
      </w:pPr>
      <w:r w:rsidDel="00000000" w:rsidR="00000000" w:rsidRPr="00000000">
        <w:rPr>
          <w:rFonts w:ascii="Trebuchet MS" w:cs="Trebuchet MS" w:eastAsia="Trebuchet MS" w:hAnsi="Trebuchet MS"/>
          <w:b w:val="1"/>
          <w:bCs w:val="1"/>
          <w:color w:val="800000"/>
          <w:sz w:val="24"/>
          <w:szCs w:val="24"/>
          <w:rtl w:val="0"/>
        </w:rPr>
        <w:t xml:space="preserve">Instructions to Designers</w:t>
      </w:r>
      <w:r w:rsidDel="00000000" w:rsidR="00000000" w:rsidRPr="00000000">
        <w:rPr>
          <w:rFonts w:ascii="Trebuchet MS" w:cs="Trebuchet MS" w:eastAsia="Trebuchet MS" w:hAnsi="Trebuchet MS"/>
          <w:color w:val="800000"/>
          <w:sz w:val="24"/>
          <w:szCs w:val="24"/>
          <w:rtl w:val="0"/>
        </w:rPr>
        <w:t xml:space="preserve"> (delete instructions from final draft):</w:t>
      </w:r>
    </w:p>
    <w:p w:rsidR="00000000" w:rsidDel="00000000" w:rsidP="00000000" w:rsidRDefault="00000000" w:rsidRPr="00000000" w14:paraId="00000068">
      <w:pPr>
        <w:ind w:left="720" w:firstLine="0"/>
        <w:jc w:val="center"/>
        <w:rPr>
          <w:rFonts w:ascii="Trebuchet MS" w:cs="Trebuchet MS" w:eastAsia="Trebuchet MS" w:hAnsi="Trebuchet MS"/>
          <w:color w:val="80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rFonts w:ascii="Trebuchet MS" w:cs="Trebuchet MS" w:eastAsia="Trebuchet MS" w:hAnsi="Trebuchet MS"/>
          <w:color w:val="800000"/>
          <w:sz w:val="24"/>
          <w:szCs w:val="24"/>
        </w:rPr>
      </w:pPr>
      <w:r w:rsidDel="00000000" w:rsidR="00000000" w:rsidRPr="00000000">
        <w:rPr>
          <w:rFonts w:ascii="Trebuchet MS" w:cs="Trebuchet MS" w:eastAsia="Trebuchet MS" w:hAnsi="Trebuchet MS"/>
          <w:color w:val="800000"/>
          <w:sz w:val="24"/>
          <w:szCs w:val="24"/>
          <w:rtl w:val="0"/>
        </w:rPr>
        <w:t xml:space="preserve">Use this Project Special Provision on projects having more than 50,000 cubic yards of Embankment Material (Complete in Place), Unclassified Excavation (Complete in Place), Borrow (Complete in Place), or other projects as selected by the Region Materials Engineer</w:t>
      </w:r>
      <w:r w:rsidDel="00000000" w:rsidR="00000000" w:rsidRPr="00000000">
        <w:rPr>
          <w:rFonts w:ascii="Trebuchet MS" w:cs="Trebuchet MS" w:eastAsia="Trebuchet MS" w:hAnsi="Trebuchet MS"/>
          <w:sz w:val="24"/>
          <w:szCs w:val="24"/>
          <w:rtl w:val="0"/>
        </w:rPr>
        <w:t xml:space="preserve">.</w:t>
      </w:r>
      <w:r w:rsidDel="00000000" w:rsidR="00000000" w:rsidRPr="00000000">
        <w:rPr>
          <w:rtl w:val="0"/>
        </w:rPr>
      </w:r>
    </w:p>
    <w:p w:rsidR="00000000" w:rsidDel="00000000" w:rsidP="00000000" w:rsidRDefault="00000000" w:rsidRPr="00000000" w14:paraId="0000006A">
      <w:pPr>
        <w:jc w:val="both"/>
        <w:rPr>
          <w:rFonts w:ascii="Trebuchet MS" w:cs="Trebuchet MS" w:eastAsia="Trebuchet MS" w:hAnsi="Trebuchet MS"/>
          <w:sz w:val="24"/>
          <w:szCs w:val="24"/>
        </w:rPr>
      </w:pPr>
      <w:r w:rsidDel="00000000" w:rsidR="00000000" w:rsidRPr="00000000">
        <w:rPr>
          <w:rtl w:val="0"/>
        </w:rPr>
      </w:r>
    </w:p>
    <w:sectPr>
      <w:headerReference r:id="rId6" w:type="default"/>
      <w:headerReference r:id="rId7" w:type="firs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Work Sheet: 105-106-203</w:t>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Page </w:t>
    </w:r>
    <w:r w:rsidDel="00000000" w:rsidR="00000000" w:rsidRPr="00000000">
      <w:rPr>
        <w:rFonts w:ascii="Trebuchet MS" w:cs="Trebuchet MS" w:eastAsia="Trebuchet MS" w:hAnsi="Trebuchet MS"/>
        <w:color w:val="000000"/>
        <w:sz w:val="24"/>
        <w:szCs w:val="24"/>
      </w:rPr>
      <w:fldChar w:fldCharType="begin"/>
      <w:instrText xml:space="preserve">PAGE</w:instrText>
      <w:fldChar w:fldCharType="separate"/>
      <w:fldChar w:fldCharType="end"/>
    </w:r>
    <w:r w:rsidDel="00000000" w:rsidR="00000000" w:rsidRPr="00000000">
      <w:rPr>
        <w:rFonts w:ascii="Trebuchet MS" w:cs="Trebuchet MS" w:eastAsia="Trebuchet MS" w:hAnsi="Trebuchet MS"/>
        <w:color w:val="000000"/>
        <w:sz w:val="24"/>
        <w:szCs w:val="24"/>
        <w:rtl w:val="0"/>
      </w:rPr>
      <w:t xml:space="preserve"> of 4</w:t>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02-03-11 (Re-issued 12.</w:t>
    </w:r>
    <w:r w:rsidDel="00000000" w:rsidR="00000000" w:rsidRPr="00000000">
      <w:rPr>
        <w:rFonts w:ascii="Trebuchet MS" w:cs="Trebuchet MS" w:eastAsia="Trebuchet MS" w:hAnsi="Trebuchet MS"/>
        <w:sz w:val="24"/>
        <w:szCs w:val="24"/>
        <w:rtl w:val="0"/>
      </w:rPr>
      <w:t xml:space="preserve">9</w:t>
    </w:r>
    <w:r w:rsidDel="00000000" w:rsidR="00000000" w:rsidRPr="00000000">
      <w:rPr>
        <w:rFonts w:ascii="Trebuchet MS" w:cs="Trebuchet MS" w:eastAsia="Trebuchet MS" w:hAnsi="Trebuchet MS"/>
        <w:color w:val="000000"/>
        <w:sz w:val="24"/>
        <w:szCs w:val="24"/>
        <w:rtl w:val="0"/>
      </w:rPr>
      <w:t xml:space="preserve">.25)</w:t>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Work Sheet: 105-106-203</w:t>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Page 1 of 4</w:t>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02-03-11 (Re-issued 07-03-17)</w:t>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REVISION OF SECTIONS 105, 106, AND 203</w:t>
    </w:r>
  </w:p>
  <w:p w:rsidR="00000000" w:rsidDel="00000000" w:rsidP="00000000" w:rsidRDefault="00000000" w:rsidRPr="00000000" w14:paraId="00000075">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CONFORMITY TO THE CONTRACT OF EMBANKMENT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sz w:val="24"/>
      <w:szCs w:val="24"/>
    </w:rPr>
  </w:style>
  <w:style w:type="paragraph" w:styleId="Heading2">
    <w:name w:val="heading 2"/>
    <w:basedOn w:val="Normal"/>
    <w:next w:val="Normal"/>
    <w:pPr>
      <w:keepNext w:val="1"/>
      <w:jc w:val="center"/>
    </w:pPr>
    <w:rPr>
      <w:b w:val="1"/>
      <w:bCs w:val="1"/>
    </w:rPr>
  </w:style>
  <w:style w:type="paragraph" w:styleId="Heading3">
    <w:name w:val="heading 3"/>
    <w:basedOn w:val="Normal"/>
    <w:next w:val="Normal"/>
    <w:pPr>
      <w:keepNext w:val="1"/>
      <w:jc w:val="center"/>
    </w:pPr>
    <w:rPr>
      <w:b w:val="1"/>
      <w:bCs w:val="1"/>
      <w:i w:val="1"/>
      <w:iCs w:val="1"/>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widowControl w:val="0"/>
      <w:jc w:val="center"/>
    </w:pPr>
    <w:rPr>
      <w:b w:val="1"/>
      <w:bCs w:val="1"/>
      <w:sz w:val="24"/>
      <w:szCs w:val="24"/>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