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072F" w14:textId="77777777" w:rsidR="003F3795" w:rsidRPr="00955417" w:rsidRDefault="003F3795" w:rsidP="003F3795">
      <w:pPr>
        <w:pStyle w:val="Heading1"/>
      </w:pPr>
      <w:r w:rsidRPr="00955417">
        <w:t xml:space="preserve">Revision </w:t>
      </w:r>
      <w:r>
        <w:t>o</w:t>
      </w:r>
      <w:r w:rsidRPr="00955417">
        <w:t>f Section 614</w:t>
      </w:r>
    </w:p>
    <w:p w14:paraId="4B0556E3" w14:textId="77777777" w:rsidR="003F3795" w:rsidRPr="00955417" w:rsidRDefault="003F3795" w:rsidP="003F3795">
      <w:pPr>
        <w:pStyle w:val="Heading1"/>
      </w:pPr>
      <w:r w:rsidRPr="00955417">
        <w:t>Impact Attenuator (Low Maintenance)</w:t>
      </w:r>
    </w:p>
    <w:p w14:paraId="0E06B08A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31AF4B64" w14:textId="5DCD6709" w:rsidR="00D07C83" w:rsidRPr="00955417" w:rsidRDefault="00D928E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64" w:lineRule="atLeast"/>
        <w:rPr>
          <w:rFonts w:ascii="Trebuchet MS" w:hAnsi="Trebuchet MS"/>
          <w:b/>
          <w:bCs/>
          <w:sz w:val="24"/>
          <w:szCs w:val="24"/>
        </w:rPr>
      </w:pPr>
      <w:r w:rsidRPr="00955417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D07C83" w:rsidRPr="00955417">
        <w:rPr>
          <w:rFonts w:ascii="Trebuchet MS" w:hAnsi="Trebuchet MS"/>
          <w:b/>
          <w:bCs/>
          <w:sz w:val="24"/>
          <w:szCs w:val="24"/>
        </w:rPr>
        <w:t>Section 614 of the Standard Specifications for this project to include the following:</w:t>
      </w:r>
    </w:p>
    <w:p w14:paraId="4831B2D1" w14:textId="79E75620" w:rsidR="00A2092F" w:rsidRDefault="00460BCE" w:rsidP="00460BCE">
      <w:pPr>
        <w:pStyle w:val="Heading2"/>
      </w:pPr>
      <w:r w:rsidRPr="00460BCE">
        <w:t>Description</w:t>
      </w:r>
    </w:p>
    <w:p w14:paraId="6DF55464" w14:textId="77777777" w:rsidR="00460BCE" w:rsidRPr="00460BCE" w:rsidRDefault="00460BCE" w:rsidP="00460BCE"/>
    <w:p w14:paraId="35A5DF82" w14:textId="1E1CA0B8" w:rsidR="00D07C83" w:rsidRPr="00D928E0" w:rsidRDefault="00F2426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This work</w:t>
      </w:r>
      <w:r w:rsidR="00D07C83" w:rsidRPr="00D928E0">
        <w:rPr>
          <w:rFonts w:ascii="Trebuchet MS" w:hAnsi="Trebuchet MS"/>
          <w:sz w:val="24"/>
          <w:szCs w:val="24"/>
        </w:rPr>
        <w:t xml:space="preserve"> consists of furnishing and installing </w:t>
      </w:r>
      <w:r w:rsidRPr="00D928E0">
        <w:rPr>
          <w:rFonts w:ascii="Trebuchet MS" w:hAnsi="Trebuchet MS"/>
          <w:sz w:val="24"/>
          <w:szCs w:val="24"/>
        </w:rPr>
        <w:t xml:space="preserve">low-maintenance </w:t>
      </w:r>
      <w:r w:rsidR="00D07C83" w:rsidRPr="00D928E0">
        <w:rPr>
          <w:rFonts w:ascii="Trebuchet MS" w:hAnsi="Trebuchet MS"/>
          <w:sz w:val="24"/>
          <w:szCs w:val="24"/>
        </w:rPr>
        <w:t>impact attenuators</w:t>
      </w:r>
      <w:r w:rsidR="00D110EF" w:rsidRPr="00D928E0">
        <w:rPr>
          <w:rFonts w:ascii="Trebuchet MS" w:hAnsi="Trebuchet MS"/>
          <w:sz w:val="24"/>
          <w:szCs w:val="24"/>
        </w:rPr>
        <w:t xml:space="preserve">.  </w:t>
      </w:r>
      <w:r w:rsidR="00D07C83" w:rsidRPr="00D928E0">
        <w:rPr>
          <w:rFonts w:ascii="Trebuchet MS" w:hAnsi="Trebuchet MS"/>
          <w:sz w:val="24"/>
          <w:szCs w:val="24"/>
        </w:rPr>
        <w:t xml:space="preserve">This work shall be done </w:t>
      </w:r>
      <w:r w:rsidR="00B43F92">
        <w:rPr>
          <w:rFonts w:ascii="Trebuchet MS" w:hAnsi="Trebuchet MS"/>
          <w:sz w:val="24"/>
          <w:szCs w:val="24"/>
        </w:rPr>
        <w:t>per</w:t>
      </w:r>
      <w:r w:rsidR="00D07C83" w:rsidRPr="00D928E0">
        <w:rPr>
          <w:rFonts w:ascii="Trebuchet MS" w:hAnsi="Trebuchet MS"/>
          <w:sz w:val="24"/>
          <w:szCs w:val="24"/>
        </w:rPr>
        <w:t xml:space="preserve"> these specifications and in conformity with the lines and details shown on the plans or established.  </w:t>
      </w:r>
    </w:p>
    <w:p w14:paraId="377C4110" w14:textId="2488E412" w:rsidR="009170E4" w:rsidRPr="00D928E0" w:rsidRDefault="00A04887" w:rsidP="00955417">
      <w:pPr>
        <w:pStyle w:val="Heading2"/>
        <w:rPr>
          <w:color w:val="FF0000"/>
        </w:rPr>
      </w:pPr>
      <w:r w:rsidRPr="00D928E0">
        <w:t>Materials</w:t>
      </w:r>
    </w:p>
    <w:p w14:paraId="34D8DD8D" w14:textId="77777777" w:rsidR="00060502" w:rsidRPr="00D928E0" w:rsidRDefault="00060502" w:rsidP="00B93FE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7EB842C9" w14:textId="77777777" w:rsidR="00060502" w:rsidRPr="00D928E0" w:rsidRDefault="00060502" w:rsidP="00060502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The low maintenance impact attenuator shall be one of the following:</w:t>
      </w:r>
    </w:p>
    <w:p w14:paraId="7DE70DAE" w14:textId="77777777" w:rsidR="00BD6DB8" w:rsidRPr="00D928E0" w:rsidRDefault="00BD6DB8" w:rsidP="00BD6DB8">
      <w:pPr>
        <w:widowControl w:val="0"/>
        <w:tabs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2404C55F" w14:textId="77777777" w:rsidR="00060502" w:rsidRPr="00D928E0" w:rsidRDefault="00BD6DB8" w:rsidP="00060502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Smart Cushion, as manufactured by SCI Inc., 2500 Production Drive, St. Charles, IL 60174</w:t>
      </w:r>
    </w:p>
    <w:p w14:paraId="66149C69" w14:textId="77777777" w:rsidR="00BD6DB8" w:rsidRPr="00D928E0" w:rsidRDefault="00BD6DB8" w:rsidP="00BD6DB8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QUADGUARD Elite System, as manufactured by Energy Absorption Systems, Inc., One East Wacker Drive, Chicago, IL 60601</w:t>
      </w:r>
    </w:p>
    <w:p w14:paraId="3FC14C40" w14:textId="77777777" w:rsidR="00060502" w:rsidRPr="00D928E0" w:rsidRDefault="00060502" w:rsidP="00060502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QUADGUARD LMC System, as manufactured by Energy Absorption Systems, Inc., One East Wacker Drive, Chicago, IL 60601</w:t>
      </w:r>
    </w:p>
    <w:p w14:paraId="75970080" w14:textId="77777777" w:rsidR="00BB3101" w:rsidRPr="00D928E0" w:rsidRDefault="00BB310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3CFB12C1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 xml:space="preserve">The design speed of this portion of the roadway is </w:t>
      </w:r>
      <w:r w:rsidRPr="00D928E0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D928E0">
        <w:rPr>
          <w:rFonts w:ascii="Trebuchet MS" w:hAnsi="Trebuchet MS"/>
          <w:sz w:val="24"/>
          <w:szCs w:val="24"/>
        </w:rPr>
        <w:t xml:space="preserve"> miles per hour.  </w:t>
      </w:r>
    </w:p>
    <w:p w14:paraId="070B5174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584092BA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The</w:t>
      </w:r>
      <w:r w:rsidR="003E2919" w:rsidRPr="00D928E0">
        <w:rPr>
          <w:rFonts w:ascii="Trebuchet MS" w:hAnsi="Trebuchet MS"/>
          <w:sz w:val="24"/>
          <w:szCs w:val="24"/>
        </w:rPr>
        <w:t xml:space="preserve"> low maintenance</w:t>
      </w:r>
      <w:r w:rsidRPr="00D928E0">
        <w:rPr>
          <w:rFonts w:ascii="Trebuchet MS" w:hAnsi="Trebuchet MS"/>
          <w:sz w:val="24"/>
          <w:szCs w:val="24"/>
        </w:rPr>
        <w:t xml:space="preserve"> impact attenuator shall meet the following design parameters:</w:t>
      </w:r>
    </w:p>
    <w:p w14:paraId="4049BD44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67EEAF6B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800000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NCHRP Report 350</w:t>
      </w:r>
      <w:r w:rsidR="005E6483" w:rsidRPr="00D928E0">
        <w:rPr>
          <w:rFonts w:ascii="Trebuchet MS" w:hAnsi="Trebuchet MS"/>
          <w:sz w:val="24"/>
          <w:szCs w:val="24"/>
        </w:rPr>
        <w:t xml:space="preserve"> </w:t>
      </w:r>
      <w:r w:rsidR="005E173F" w:rsidRPr="00D928E0">
        <w:rPr>
          <w:rFonts w:ascii="Trebuchet MS" w:hAnsi="Trebuchet MS"/>
          <w:sz w:val="24"/>
          <w:szCs w:val="24"/>
        </w:rPr>
        <w:t>(</w:t>
      </w:r>
      <w:r w:rsidR="00354C78" w:rsidRPr="00D928E0">
        <w:rPr>
          <w:rFonts w:ascii="Trebuchet MS" w:hAnsi="Trebuchet MS"/>
          <w:sz w:val="24"/>
          <w:szCs w:val="24"/>
        </w:rPr>
        <w:t>or</w:t>
      </w:r>
      <w:r w:rsidR="005E173F" w:rsidRPr="00D928E0">
        <w:rPr>
          <w:rFonts w:ascii="Trebuchet MS" w:hAnsi="Trebuchet MS"/>
          <w:sz w:val="24"/>
          <w:szCs w:val="24"/>
        </w:rPr>
        <w:t>)</w:t>
      </w:r>
      <w:r w:rsidR="005E6483" w:rsidRPr="00D928E0">
        <w:rPr>
          <w:rFonts w:ascii="Trebuchet MS" w:hAnsi="Trebuchet MS"/>
          <w:sz w:val="24"/>
          <w:szCs w:val="24"/>
        </w:rPr>
        <w:t xml:space="preserve"> MASH</w:t>
      </w:r>
      <w:r w:rsidRPr="00D928E0">
        <w:rPr>
          <w:rFonts w:ascii="Trebuchet MS" w:hAnsi="Trebuchet MS"/>
          <w:sz w:val="24"/>
          <w:szCs w:val="24"/>
        </w:rPr>
        <w:t xml:space="preserve"> Test Level: TL </w:t>
      </w:r>
      <w:r w:rsidRPr="00D928E0">
        <w:rPr>
          <w:rFonts w:ascii="Segoe UI Symbol" w:hAnsi="Segoe UI Symbol" w:cs="Segoe UI Symbol"/>
          <w:color w:val="0070C0"/>
          <w:sz w:val="32"/>
          <w:szCs w:val="32"/>
        </w:rPr>
        <w:t>♪</w:t>
      </w:r>
    </w:p>
    <w:p w14:paraId="4ACC9448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25616407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color w:val="000000"/>
          <w:sz w:val="24"/>
          <w:szCs w:val="24"/>
        </w:rPr>
        <w:t xml:space="preserve">Hazard </w:t>
      </w:r>
      <w:r w:rsidRPr="00D928E0">
        <w:rPr>
          <w:rFonts w:ascii="Trebuchet MS" w:hAnsi="Trebuchet MS"/>
          <w:sz w:val="24"/>
          <w:szCs w:val="24"/>
        </w:rPr>
        <w:t xml:space="preserve">Width: </w:t>
      </w:r>
      <w:r w:rsidRPr="00D928E0">
        <w:rPr>
          <w:rFonts w:ascii="Arial" w:hAnsi="Arial" w:cs="Arial"/>
          <w:color w:val="0070C0"/>
          <w:sz w:val="24"/>
          <w:szCs w:val="24"/>
        </w:rPr>
        <w:t>▲</w:t>
      </w:r>
      <w:r w:rsidRPr="00D928E0">
        <w:rPr>
          <w:rFonts w:ascii="Trebuchet MS" w:hAnsi="Trebuchet MS"/>
          <w:sz w:val="24"/>
          <w:szCs w:val="24"/>
        </w:rPr>
        <w:tab/>
      </w:r>
    </w:p>
    <w:p w14:paraId="24471A2A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56C38AE2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800000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Bi</w:t>
      </w:r>
      <w:r w:rsidRPr="00D928E0">
        <w:rPr>
          <w:rFonts w:ascii="Trebuchet MS" w:hAnsi="Trebuchet MS"/>
          <w:sz w:val="24"/>
          <w:szCs w:val="24"/>
        </w:rPr>
        <w:noBreakHyphen/>
        <w:t>directional:</w:t>
      </w:r>
      <w:r w:rsidRPr="00D928E0">
        <w:rPr>
          <w:rFonts w:ascii="Trebuchet MS" w:hAnsi="Trebuchet MS"/>
          <w:sz w:val="24"/>
          <w:szCs w:val="24"/>
        </w:rPr>
        <w:tab/>
      </w:r>
      <w:r w:rsidRPr="00D928E0">
        <w:rPr>
          <w:rFonts w:ascii="Segoe UI Symbol" w:hAnsi="Segoe UI Symbol" w:cs="Segoe UI Symbol"/>
          <w:color w:val="0070C0"/>
          <w:sz w:val="24"/>
          <w:szCs w:val="24"/>
        </w:rPr>
        <w:t>♥</w:t>
      </w:r>
    </w:p>
    <w:p w14:paraId="26B3E0D6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  <w:u w:val="single"/>
        </w:rPr>
      </w:pPr>
    </w:p>
    <w:p w14:paraId="5DC53853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800000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Location:</w:t>
      </w:r>
      <w:r w:rsidRPr="00D928E0">
        <w:rPr>
          <w:rFonts w:ascii="Trebuchet MS" w:hAnsi="Trebuchet MS"/>
          <w:sz w:val="24"/>
          <w:szCs w:val="24"/>
        </w:rPr>
        <w:tab/>
      </w:r>
      <w:r w:rsidRPr="00D928E0">
        <w:rPr>
          <w:rFonts w:ascii="Segoe UI Symbol" w:hAnsi="Segoe UI Symbol" w:cs="Segoe UI Symbol"/>
          <w:color w:val="0070C0"/>
          <w:sz w:val="24"/>
          <w:szCs w:val="24"/>
        </w:rPr>
        <w:t>♣</w:t>
      </w:r>
    </w:p>
    <w:p w14:paraId="720EA609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  <w:u w:val="single"/>
        </w:rPr>
      </w:pPr>
    </w:p>
    <w:p w14:paraId="370497F6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800000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Object to be shielded:</w:t>
      </w:r>
      <w:r w:rsidRPr="00D928E0">
        <w:rPr>
          <w:rFonts w:ascii="Trebuchet MS" w:hAnsi="Trebuchet MS"/>
          <w:sz w:val="24"/>
          <w:szCs w:val="24"/>
        </w:rPr>
        <w:tab/>
      </w:r>
      <w:r w:rsidRPr="00D928E0">
        <w:rPr>
          <w:rFonts w:ascii="Segoe UI Symbol" w:hAnsi="Segoe UI Symbol" w:cs="Segoe UI Symbol"/>
          <w:color w:val="0070C0"/>
          <w:sz w:val="24"/>
          <w:szCs w:val="24"/>
        </w:rPr>
        <w:t>♠</w:t>
      </w:r>
    </w:p>
    <w:p w14:paraId="46469966" w14:textId="77777777" w:rsidR="00244612" w:rsidRPr="00D928E0" w:rsidRDefault="00244612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jc w:val="center"/>
        <w:rPr>
          <w:rFonts w:ascii="Trebuchet MS" w:hAnsi="Trebuchet MS"/>
          <w:b/>
          <w:sz w:val="24"/>
          <w:szCs w:val="24"/>
        </w:rPr>
      </w:pPr>
    </w:p>
    <w:p w14:paraId="1D77C083" w14:textId="70521F47" w:rsidR="00D07C83" w:rsidRPr="00D928E0" w:rsidRDefault="00CD7EE1" w:rsidP="00955417">
      <w:pPr>
        <w:pStyle w:val="Heading2"/>
      </w:pPr>
      <w:r w:rsidRPr="00D928E0">
        <w:t>Construction Requirements</w:t>
      </w:r>
    </w:p>
    <w:p w14:paraId="16212EFE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b/>
          <w:sz w:val="24"/>
          <w:szCs w:val="24"/>
        </w:rPr>
      </w:pPr>
    </w:p>
    <w:p w14:paraId="1214921B" w14:textId="3963FA3F" w:rsidR="00587144" w:rsidRPr="00D928E0" w:rsidRDefault="00D07C83" w:rsidP="0063371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 xml:space="preserve">The site shall be prepared to receive the </w:t>
      </w:r>
      <w:r w:rsidR="00C7218A" w:rsidRPr="00D928E0">
        <w:rPr>
          <w:rFonts w:ascii="Trebuchet MS" w:hAnsi="Trebuchet MS"/>
          <w:sz w:val="24"/>
          <w:szCs w:val="24"/>
        </w:rPr>
        <w:t xml:space="preserve">low maintenance </w:t>
      </w:r>
      <w:r w:rsidRPr="00D928E0">
        <w:rPr>
          <w:rFonts w:ascii="Trebuchet MS" w:hAnsi="Trebuchet MS"/>
          <w:sz w:val="24"/>
          <w:szCs w:val="24"/>
        </w:rPr>
        <w:t>impact attenuator</w:t>
      </w:r>
      <w:r w:rsidR="00633716" w:rsidRPr="00D928E0">
        <w:rPr>
          <w:rFonts w:ascii="Trebuchet MS" w:hAnsi="Trebuchet MS"/>
          <w:sz w:val="24"/>
          <w:szCs w:val="24"/>
        </w:rPr>
        <w:t xml:space="preserve"> </w:t>
      </w:r>
      <w:r w:rsidRPr="00D928E0">
        <w:rPr>
          <w:rFonts w:ascii="Trebuchet MS" w:hAnsi="Trebuchet MS"/>
          <w:sz w:val="24"/>
          <w:szCs w:val="24"/>
        </w:rPr>
        <w:t xml:space="preserve">by filling, excavating, </w:t>
      </w:r>
      <w:r w:rsidR="006A5477" w:rsidRPr="00D928E0">
        <w:rPr>
          <w:rFonts w:ascii="Trebuchet MS" w:hAnsi="Trebuchet MS"/>
          <w:sz w:val="24"/>
          <w:szCs w:val="24"/>
        </w:rPr>
        <w:t xml:space="preserve">and </w:t>
      </w:r>
      <w:r w:rsidRPr="00D928E0">
        <w:rPr>
          <w:rFonts w:ascii="Trebuchet MS" w:hAnsi="Trebuchet MS"/>
          <w:sz w:val="24"/>
          <w:szCs w:val="24"/>
        </w:rPr>
        <w:t>smoothing</w:t>
      </w:r>
      <w:r w:rsidR="00BA794F" w:rsidRPr="00D928E0">
        <w:rPr>
          <w:rFonts w:ascii="Trebuchet MS" w:hAnsi="Trebuchet MS"/>
          <w:sz w:val="24"/>
          <w:szCs w:val="24"/>
        </w:rPr>
        <w:t xml:space="preserve"> the subgrade</w:t>
      </w:r>
      <w:r w:rsidRPr="00D928E0">
        <w:rPr>
          <w:rFonts w:ascii="Trebuchet MS" w:hAnsi="Trebuchet MS"/>
          <w:sz w:val="24"/>
          <w:szCs w:val="24"/>
        </w:rPr>
        <w:t>, constructing the concrete foundation pad, installing approved transition and anchoring, and all other work necessary for the proper installation of the attenuator.  The foundation pad shall be 6</w:t>
      </w:r>
      <w:r w:rsidR="00F24265" w:rsidRPr="00D928E0">
        <w:rPr>
          <w:rFonts w:ascii="Trebuchet MS" w:hAnsi="Trebuchet MS"/>
          <w:sz w:val="24"/>
          <w:szCs w:val="24"/>
        </w:rPr>
        <w:t>-</w:t>
      </w:r>
      <w:r w:rsidRPr="00D928E0">
        <w:rPr>
          <w:rFonts w:ascii="Trebuchet MS" w:hAnsi="Trebuchet MS"/>
          <w:sz w:val="24"/>
          <w:szCs w:val="24"/>
        </w:rPr>
        <w:t>inch thick reinforced concrete or 8</w:t>
      </w:r>
      <w:r w:rsidR="00F24265" w:rsidRPr="00D928E0">
        <w:rPr>
          <w:rFonts w:ascii="Trebuchet MS" w:hAnsi="Trebuchet MS"/>
          <w:sz w:val="24"/>
          <w:szCs w:val="24"/>
        </w:rPr>
        <w:t>-</w:t>
      </w:r>
      <w:r w:rsidRPr="00D928E0">
        <w:rPr>
          <w:rFonts w:ascii="Trebuchet MS" w:hAnsi="Trebuchet MS"/>
          <w:sz w:val="24"/>
          <w:szCs w:val="24"/>
        </w:rPr>
        <w:t>inch thick non-reinforced concrete.  Other foundations may be used, if recommended by the impact</w:t>
      </w:r>
      <w:r w:rsidR="00633716" w:rsidRPr="00D928E0">
        <w:rPr>
          <w:rFonts w:ascii="Trebuchet MS" w:hAnsi="Trebuchet MS"/>
          <w:sz w:val="24"/>
          <w:szCs w:val="24"/>
        </w:rPr>
        <w:t xml:space="preserve"> </w:t>
      </w:r>
      <w:r w:rsidR="00B93FE1" w:rsidRPr="00D928E0">
        <w:rPr>
          <w:rFonts w:ascii="Trebuchet MS" w:hAnsi="Trebuchet MS"/>
          <w:sz w:val="24"/>
          <w:szCs w:val="24"/>
        </w:rPr>
        <w:t xml:space="preserve">attenuator manufacturer </w:t>
      </w:r>
      <w:r w:rsidR="00587144" w:rsidRPr="00D928E0">
        <w:rPr>
          <w:rFonts w:ascii="Trebuchet MS" w:hAnsi="Trebuchet MS"/>
          <w:sz w:val="24"/>
          <w:szCs w:val="24"/>
        </w:rPr>
        <w:t xml:space="preserve">and approved by the Engineer.   The impact attenuator shall be fabricated and installed </w:t>
      </w:r>
      <w:r w:rsidR="00B43F92">
        <w:rPr>
          <w:rFonts w:ascii="Trebuchet MS" w:hAnsi="Trebuchet MS"/>
          <w:sz w:val="24"/>
          <w:szCs w:val="24"/>
        </w:rPr>
        <w:t>per</w:t>
      </w:r>
      <w:r w:rsidR="00587144" w:rsidRPr="00D928E0">
        <w:rPr>
          <w:rFonts w:ascii="Trebuchet MS" w:hAnsi="Trebuchet MS"/>
          <w:sz w:val="24"/>
          <w:szCs w:val="24"/>
        </w:rPr>
        <w:t xml:space="preserve"> the manufacturer's recommendations. The Contractor shall provide a copy of the manufacturer’s installation instructions and parts lists to the Engineer </w:t>
      </w:r>
      <w:r w:rsidR="00B43F92">
        <w:rPr>
          <w:rFonts w:ascii="Trebuchet MS" w:hAnsi="Trebuchet MS"/>
          <w:sz w:val="24"/>
          <w:szCs w:val="24"/>
        </w:rPr>
        <w:t>before</w:t>
      </w:r>
      <w:r w:rsidR="00587144" w:rsidRPr="00D928E0">
        <w:rPr>
          <w:rFonts w:ascii="Trebuchet MS" w:hAnsi="Trebuchet MS"/>
          <w:sz w:val="24"/>
          <w:szCs w:val="24"/>
        </w:rPr>
        <w:t xml:space="preserve"> installation of the device.</w:t>
      </w:r>
    </w:p>
    <w:p w14:paraId="3A35C264" w14:textId="77777777" w:rsidR="000E5136" w:rsidRPr="00D928E0" w:rsidRDefault="000E5136" w:rsidP="0063371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14D6DE32" w14:textId="0BAD3C34" w:rsidR="00BD49FC" w:rsidRPr="00D928E0" w:rsidRDefault="00244612" w:rsidP="00D928E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b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 xml:space="preserve">Each installation shall be certified as correct upon completion by a representative of the device manufacturer or by an employee of the Contractor who is a certified installer. The </w:t>
      </w:r>
      <w:r w:rsidRPr="00D928E0">
        <w:rPr>
          <w:rFonts w:ascii="Trebuchet MS" w:hAnsi="Trebuchet MS"/>
          <w:color w:val="000000"/>
          <w:sz w:val="24"/>
          <w:szCs w:val="24"/>
        </w:rPr>
        <w:t xml:space="preserve">Contractor shall submit </w:t>
      </w:r>
      <w:r w:rsidR="00311BEE" w:rsidRPr="00D928E0">
        <w:rPr>
          <w:rFonts w:ascii="Trebuchet MS" w:hAnsi="Trebuchet MS"/>
          <w:color w:val="000000"/>
          <w:sz w:val="24"/>
          <w:szCs w:val="24"/>
        </w:rPr>
        <w:t>acceptable</w:t>
      </w:r>
      <w:r w:rsidRPr="00D928E0">
        <w:rPr>
          <w:rFonts w:ascii="Trebuchet MS" w:hAnsi="Trebuchet MS"/>
          <w:color w:val="000000"/>
          <w:sz w:val="24"/>
          <w:szCs w:val="24"/>
        </w:rPr>
        <w:t xml:space="preserve"> documentation to validate that th</w:t>
      </w:r>
      <w:r w:rsidR="00111354" w:rsidRPr="00D928E0">
        <w:rPr>
          <w:rFonts w:ascii="Trebuchet MS" w:hAnsi="Trebuchet MS"/>
          <w:color w:val="000000"/>
          <w:sz w:val="24"/>
          <w:szCs w:val="24"/>
        </w:rPr>
        <w:t xml:space="preserve">e </w:t>
      </w:r>
      <w:r w:rsidRPr="00D928E0">
        <w:rPr>
          <w:rFonts w:ascii="Trebuchet MS" w:hAnsi="Trebuchet MS"/>
          <w:sz w:val="24"/>
          <w:szCs w:val="24"/>
        </w:rPr>
        <w:t>certified installer has completed device training and has been registered with the manufacturer as a certified installer.</w:t>
      </w:r>
    </w:p>
    <w:p w14:paraId="1216F22B" w14:textId="13AC190F" w:rsidR="00BD49FC" w:rsidRPr="00D928E0" w:rsidRDefault="00A04887" w:rsidP="00955417">
      <w:pPr>
        <w:pStyle w:val="Heading2"/>
      </w:pPr>
      <w:r w:rsidRPr="00D928E0">
        <w:t xml:space="preserve">Method </w:t>
      </w:r>
      <w:r w:rsidR="00CD7EE1">
        <w:t>o</w:t>
      </w:r>
      <w:r w:rsidRPr="00D928E0">
        <w:t>f Measurement</w:t>
      </w:r>
    </w:p>
    <w:p w14:paraId="15551279" w14:textId="77777777" w:rsidR="00BD49FC" w:rsidRPr="00D928E0" w:rsidRDefault="00BD49FC" w:rsidP="00BD49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b/>
          <w:sz w:val="24"/>
          <w:szCs w:val="24"/>
        </w:rPr>
      </w:pPr>
    </w:p>
    <w:p w14:paraId="7BB25DEE" w14:textId="77777777" w:rsidR="00BD49FC" w:rsidRPr="00D928E0" w:rsidRDefault="00C7218A" w:rsidP="00BD49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Low maintenance i</w:t>
      </w:r>
      <w:r w:rsidR="00BD49FC" w:rsidRPr="00D928E0">
        <w:rPr>
          <w:rFonts w:ascii="Trebuchet MS" w:hAnsi="Trebuchet MS"/>
          <w:sz w:val="24"/>
          <w:szCs w:val="24"/>
        </w:rPr>
        <w:t>mpact attenuators will be measured by the actual number of attenuators that are installed and accepted.</w:t>
      </w:r>
    </w:p>
    <w:p w14:paraId="04CA7996" w14:textId="2512545A" w:rsidR="00D07C83" w:rsidRPr="00D928E0" w:rsidRDefault="00CD7EE1" w:rsidP="00955417">
      <w:pPr>
        <w:pStyle w:val="Heading2"/>
      </w:pPr>
      <w:r w:rsidRPr="00D928E0">
        <w:t>Basis</w:t>
      </w:r>
      <w:r>
        <w:t xml:space="preserve"> o</w:t>
      </w:r>
      <w:r w:rsidRPr="00D928E0">
        <w:t>f Payment</w:t>
      </w:r>
    </w:p>
    <w:p w14:paraId="66A7285C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35C44C74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The accepted quantities</w:t>
      </w:r>
      <w:r w:rsidR="00C7218A" w:rsidRPr="00D928E0">
        <w:rPr>
          <w:rFonts w:ascii="Trebuchet MS" w:hAnsi="Trebuchet MS"/>
          <w:sz w:val="24"/>
          <w:szCs w:val="24"/>
        </w:rPr>
        <w:t xml:space="preserve"> of low maintenance impact attenuators</w:t>
      </w:r>
      <w:r w:rsidRPr="00D928E0">
        <w:rPr>
          <w:rFonts w:ascii="Trebuchet MS" w:hAnsi="Trebuchet MS"/>
          <w:sz w:val="24"/>
          <w:szCs w:val="24"/>
        </w:rPr>
        <w:t xml:space="preserve"> will be paid for at the contract unit price for the pay item listed below.</w:t>
      </w:r>
    </w:p>
    <w:p w14:paraId="46B5E1B8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4AA1390B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Payment will be made under:</w:t>
      </w:r>
    </w:p>
    <w:p w14:paraId="261635BC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tbl>
      <w:tblPr>
        <w:tblStyle w:val="PlainTable1"/>
        <w:tblW w:w="7180" w:type="dxa"/>
        <w:tblLook w:val="0420" w:firstRow="1" w:lastRow="0" w:firstColumn="0" w:lastColumn="0" w:noHBand="0" w:noVBand="1"/>
        <w:tblCaption w:val="Section 614 Basis of Payment table"/>
        <w:tblDescription w:val="Contains Pay Item Name and Pay Unit for each cost item&#10;"/>
      </w:tblPr>
      <w:tblGrid>
        <w:gridCol w:w="5480"/>
        <w:gridCol w:w="1700"/>
      </w:tblGrid>
      <w:tr w:rsidR="00E65EA6" w:rsidRPr="00E65EA6" w14:paraId="239988A7" w14:textId="77777777" w:rsidTr="00E65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5480" w:type="dxa"/>
            <w:noWrap/>
            <w:hideMark/>
          </w:tcPr>
          <w:p w14:paraId="27DEE373" w14:textId="77777777" w:rsidR="00E65EA6" w:rsidRPr="00E65EA6" w:rsidRDefault="00E65EA6" w:rsidP="00E65EA6">
            <w:pPr>
              <w:suppressAutoHyphens w:val="0"/>
              <w:rPr>
                <w:rFonts w:ascii="Trebuchet MS" w:hAnsi="Trebuchet MS" w:cs="Calibri"/>
                <w:sz w:val="24"/>
                <w:szCs w:val="24"/>
                <w:lang w:eastAsia="en-US"/>
              </w:rPr>
            </w:pPr>
            <w:r w:rsidRPr="00E65EA6">
              <w:rPr>
                <w:rFonts w:ascii="Trebuchet MS" w:hAnsi="Trebuchet MS" w:cs="Calibri"/>
                <w:sz w:val="24"/>
                <w:szCs w:val="24"/>
                <w:lang w:eastAsia="en-US"/>
              </w:rPr>
              <w:t>Pay Item</w:t>
            </w:r>
          </w:p>
        </w:tc>
        <w:tc>
          <w:tcPr>
            <w:tcW w:w="1700" w:type="dxa"/>
            <w:noWrap/>
            <w:hideMark/>
          </w:tcPr>
          <w:p w14:paraId="2CC884C0" w14:textId="77777777" w:rsidR="00E65EA6" w:rsidRPr="00E65EA6" w:rsidRDefault="00E65EA6" w:rsidP="00E65EA6">
            <w:pPr>
              <w:suppressAutoHyphens w:val="0"/>
              <w:rPr>
                <w:rFonts w:ascii="Trebuchet MS" w:hAnsi="Trebuchet MS" w:cs="Calibri"/>
                <w:sz w:val="24"/>
                <w:szCs w:val="24"/>
                <w:lang w:eastAsia="en-US"/>
              </w:rPr>
            </w:pPr>
            <w:r w:rsidRPr="00E65EA6">
              <w:rPr>
                <w:rFonts w:ascii="Trebuchet MS" w:hAnsi="Trebuchet MS" w:cs="Calibri"/>
                <w:sz w:val="24"/>
                <w:szCs w:val="24"/>
                <w:lang w:eastAsia="en-US"/>
              </w:rPr>
              <w:t>Pay Unit</w:t>
            </w:r>
          </w:p>
        </w:tc>
      </w:tr>
      <w:tr w:rsidR="00E65EA6" w:rsidRPr="00E65EA6" w14:paraId="5B6A57F2" w14:textId="77777777" w:rsidTr="00E65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5480" w:type="dxa"/>
            <w:noWrap/>
            <w:hideMark/>
          </w:tcPr>
          <w:p w14:paraId="541C2C68" w14:textId="77777777" w:rsidR="00E65EA6" w:rsidRPr="00E65EA6" w:rsidRDefault="00E65EA6" w:rsidP="00E65EA6">
            <w:pPr>
              <w:suppressAutoHyphens w:val="0"/>
              <w:rPr>
                <w:rFonts w:ascii="Trebuchet MS" w:hAnsi="Trebuchet MS" w:cs="Calibri"/>
                <w:color w:val="000000"/>
                <w:sz w:val="24"/>
                <w:szCs w:val="24"/>
                <w:lang w:eastAsia="en-US"/>
              </w:rPr>
            </w:pPr>
            <w:r w:rsidRPr="00E65EA6">
              <w:rPr>
                <w:rFonts w:ascii="Trebuchet MS" w:hAnsi="Trebuchet MS" w:cs="Calibri"/>
                <w:color w:val="000000"/>
                <w:sz w:val="24"/>
                <w:szCs w:val="24"/>
                <w:lang w:eastAsia="en-US"/>
              </w:rPr>
              <w:t>Impact Attenuator (Low Maintenance)</w:t>
            </w:r>
          </w:p>
        </w:tc>
        <w:tc>
          <w:tcPr>
            <w:tcW w:w="1700" w:type="dxa"/>
            <w:noWrap/>
            <w:hideMark/>
          </w:tcPr>
          <w:p w14:paraId="57E08565" w14:textId="77777777" w:rsidR="00E65EA6" w:rsidRPr="00E65EA6" w:rsidRDefault="00E65EA6" w:rsidP="00E65EA6">
            <w:pPr>
              <w:suppressAutoHyphens w:val="0"/>
              <w:rPr>
                <w:rFonts w:ascii="Trebuchet MS" w:hAnsi="Trebuchet MS" w:cs="Calibri"/>
                <w:color w:val="000000"/>
                <w:sz w:val="24"/>
                <w:szCs w:val="24"/>
                <w:lang w:eastAsia="en-US"/>
              </w:rPr>
            </w:pPr>
            <w:r w:rsidRPr="00E65EA6">
              <w:rPr>
                <w:rFonts w:ascii="Trebuchet MS" w:hAnsi="Trebuchet MS" w:cs="Calibri"/>
                <w:color w:val="000000"/>
                <w:sz w:val="24"/>
                <w:szCs w:val="24"/>
                <w:lang w:eastAsia="en-US"/>
              </w:rPr>
              <w:t>Each</w:t>
            </w:r>
          </w:p>
        </w:tc>
      </w:tr>
    </w:tbl>
    <w:p w14:paraId="29D93637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0D01A3D7" w14:textId="47714809" w:rsidR="00D07C83" w:rsidRPr="00D928E0" w:rsidRDefault="00D07C83">
      <w:pPr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 xml:space="preserve">Payment will be full compensation for all work and materials required to furnish, install, and certify the </w:t>
      </w:r>
      <w:r w:rsidR="00C7218A" w:rsidRPr="00D928E0">
        <w:rPr>
          <w:rFonts w:ascii="Trebuchet MS" w:hAnsi="Trebuchet MS"/>
          <w:sz w:val="24"/>
          <w:szCs w:val="24"/>
        </w:rPr>
        <w:t xml:space="preserve">low maintenance </w:t>
      </w:r>
      <w:r w:rsidRPr="00D928E0">
        <w:rPr>
          <w:rFonts w:ascii="Trebuchet MS" w:hAnsi="Trebuchet MS"/>
          <w:sz w:val="24"/>
          <w:szCs w:val="24"/>
        </w:rPr>
        <w:t xml:space="preserve">impact attenuator. Site preparation, foundation pad and all necessary hardware including anchors and transitions will not be measured and paid for </w:t>
      </w:r>
      <w:r w:rsidR="00D928E0" w:rsidRPr="00D928E0">
        <w:rPr>
          <w:rFonts w:ascii="Trebuchet MS" w:hAnsi="Trebuchet MS"/>
          <w:sz w:val="24"/>
          <w:szCs w:val="24"/>
        </w:rPr>
        <w:t>separately but</w:t>
      </w:r>
      <w:r w:rsidRPr="00D928E0">
        <w:rPr>
          <w:rFonts w:ascii="Trebuchet MS" w:hAnsi="Trebuchet MS"/>
          <w:sz w:val="24"/>
          <w:szCs w:val="24"/>
        </w:rPr>
        <w:t xml:space="preserve"> shall be included in the work.</w:t>
      </w:r>
    </w:p>
    <w:p w14:paraId="12F72A01" w14:textId="77777777" w:rsidR="00D07C83" w:rsidRPr="00D928E0" w:rsidRDefault="00D07C83">
      <w:pPr>
        <w:rPr>
          <w:rFonts w:ascii="Trebuchet MS" w:hAnsi="Trebuchet MS"/>
          <w:sz w:val="24"/>
          <w:szCs w:val="24"/>
        </w:rPr>
      </w:pPr>
    </w:p>
    <w:p w14:paraId="2F131300" w14:textId="77777777" w:rsidR="00D07C83" w:rsidRPr="00D928E0" w:rsidRDefault="00D07C83">
      <w:pPr>
        <w:rPr>
          <w:rFonts w:ascii="Trebuchet MS" w:hAnsi="Trebuchet MS"/>
          <w:sz w:val="24"/>
          <w:szCs w:val="24"/>
        </w:rPr>
      </w:pPr>
      <w:r w:rsidRPr="00D928E0">
        <w:rPr>
          <w:rFonts w:ascii="Trebuchet MS" w:hAnsi="Trebuchet MS"/>
          <w:sz w:val="24"/>
          <w:szCs w:val="24"/>
        </w:rPr>
        <w:t>All costs associated with either having a manufacturer's representative on-site, or training and certifying an employee of the Contractor as a certified installer, will not be measured and paid for separately, but shall be included in the work.</w:t>
      </w:r>
    </w:p>
    <w:p w14:paraId="09CCA80B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sz w:val="24"/>
          <w:szCs w:val="24"/>
        </w:rPr>
      </w:pPr>
    </w:p>
    <w:p w14:paraId="0B575496" w14:textId="77777777" w:rsidR="00D07C83" w:rsidRPr="00D928E0" w:rsidRDefault="00D07C8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>**************************************</w:t>
      </w:r>
      <w:r w:rsidR="00204A3E" w:rsidRPr="00D928E0">
        <w:rPr>
          <w:rFonts w:ascii="Trebuchet MS" w:hAnsi="Trebuchet MS"/>
          <w:color w:val="0070C0"/>
          <w:sz w:val="24"/>
          <w:szCs w:val="24"/>
        </w:rPr>
        <w:t>**************</w:t>
      </w:r>
      <w:r w:rsidRPr="00D928E0">
        <w:rPr>
          <w:rFonts w:ascii="Trebuchet MS" w:hAnsi="Trebuchet MS"/>
          <w:color w:val="0070C0"/>
          <w:sz w:val="24"/>
          <w:szCs w:val="24"/>
        </w:rPr>
        <w:t>***************************************</w:t>
      </w:r>
    </w:p>
    <w:p w14:paraId="3054C6E0" w14:textId="1D53DD4F" w:rsidR="00D07C83" w:rsidRPr="00D928E0" w:rsidRDefault="00CD7EE1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D928E0">
        <w:rPr>
          <w:rFonts w:ascii="Trebuchet MS" w:hAnsi="Trebuchet MS"/>
          <w:b/>
          <w:color w:val="0070C0"/>
          <w:sz w:val="24"/>
          <w:szCs w:val="24"/>
        </w:rPr>
        <w:t xml:space="preserve">o Designers </w:t>
      </w:r>
      <w:r w:rsidR="00D07C83" w:rsidRPr="00D928E0">
        <w:rPr>
          <w:rFonts w:ascii="Trebuchet MS" w:hAnsi="Trebuchet MS"/>
          <w:color w:val="0070C0"/>
          <w:sz w:val="24"/>
          <w:szCs w:val="24"/>
        </w:rPr>
        <w:t>(Delete instructions and symbols from final draft.):</w:t>
      </w:r>
    </w:p>
    <w:p w14:paraId="3F5E44AF" w14:textId="77777777" w:rsidR="00472ECF" w:rsidRPr="00D928E0" w:rsidRDefault="00D07C83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 xml:space="preserve">Use this special provision </w:t>
      </w:r>
      <w:r w:rsidR="00E82E58" w:rsidRPr="00D928E0">
        <w:rPr>
          <w:rFonts w:ascii="Trebuchet MS" w:hAnsi="Trebuchet MS"/>
          <w:color w:val="0070C0"/>
          <w:sz w:val="24"/>
          <w:szCs w:val="24"/>
        </w:rPr>
        <w:t>in all urban locations and</w:t>
      </w:r>
      <w:r w:rsidR="002266C9" w:rsidRPr="00D928E0">
        <w:rPr>
          <w:rFonts w:ascii="Trebuchet MS" w:hAnsi="Trebuchet MS"/>
          <w:color w:val="0070C0"/>
          <w:sz w:val="24"/>
          <w:szCs w:val="24"/>
        </w:rPr>
        <w:t xml:space="preserve"> locations where the device is anticipated to be</w:t>
      </w:r>
      <w:r w:rsidR="00472ECF" w:rsidRPr="00D928E0">
        <w:rPr>
          <w:rFonts w:ascii="Trebuchet MS" w:hAnsi="Trebuchet MS"/>
          <w:color w:val="0070C0"/>
          <w:sz w:val="24"/>
          <w:szCs w:val="24"/>
        </w:rPr>
        <w:t>:</w:t>
      </w:r>
    </w:p>
    <w:p w14:paraId="1E7DC817" w14:textId="77777777" w:rsidR="00472ECF" w:rsidRPr="00D928E0" w:rsidRDefault="00472ECF" w:rsidP="00D645BB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>impacted</w:t>
      </w:r>
      <w:r w:rsidR="002266C9" w:rsidRPr="00D928E0">
        <w:rPr>
          <w:rFonts w:ascii="Trebuchet MS" w:hAnsi="Trebuchet MS"/>
          <w:color w:val="0070C0"/>
          <w:sz w:val="24"/>
          <w:szCs w:val="24"/>
        </w:rPr>
        <w:t xml:space="preserve"> at least on</w:t>
      </w:r>
      <w:r w:rsidR="00C7218A" w:rsidRPr="00D928E0">
        <w:rPr>
          <w:rFonts w:ascii="Trebuchet MS" w:hAnsi="Trebuchet MS"/>
          <w:color w:val="0070C0"/>
          <w:sz w:val="24"/>
          <w:szCs w:val="24"/>
        </w:rPr>
        <w:t>c</w:t>
      </w:r>
      <w:r w:rsidR="002266C9" w:rsidRPr="00D928E0">
        <w:rPr>
          <w:rFonts w:ascii="Trebuchet MS" w:hAnsi="Trebuchet MS"/>
          <w:color w:val="0070C0"/>
          <w:sz w:val="24"/>
          <w:szCs w:val="24"/>
        </w:rPr>
        <w:t>e per year</w:t>
      </w:r>
      <w:r w:rsidR="00A76101" w:rsidRPr="00D928E0">
        <w:rPr>
          <w:rFonts w:ascii="Trebuchet MS" w:hAnsi="Trebuchet MS"/>
          <w:color w:val="0070C0"/>
          <w:sz w:val="24"/>
          <w:szCs w:val="24"/>
        </w:rPr>
        <w:t>,</w:t>
      </w:r>
    </w:p>
    <w:p w14:paraId="5D5F1A1D" w14:textId="05A63E4E" w:rsidR="00472ECF" w:rsidRPr="00D928E0" w:rsidRDefault="00A76101" w:rsidP="009E7A21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 xml:space="preserve">ADT </w:t>
      </w:r>
      <w:r w:rsidR="00E056A5" w:rsidRPr="00D928E0">
        <w:rPr>
          <w:rFonts w:ascii="Trebuchet MS" w:hAnsi="Trebuchet MS"/>
          <w:color w:val="0070C0"/>
          <w:sz w:val="24"/>
          <w:szCs w:val="24"/>
        </w:rPr>
        <w:t xml:space="preserve">is 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over 25,000 vehicles per day, </w:t>
      </w:r>
      <w:r w:rsidR="00472ECF" w:rsidRPr="00D928E0">
        <w:rPr>
          <w:rFonts w:ascii="Trebuchet MS" w:hAnsi="Trebuchet MS"/>
          <w:color w:val="0070C0"/>
          <w:sz w:val="24"/>
          <w:szCs w:val="24"/>
        </w:rPr>
        <w:t>or</w:t>
      </w:r>
    </w:p>
    <w:p w14:paraId="2479C27F" w14:textId="77777777" w:rsidR="00472ECF" w:rsidRPr="00D928E0" w:rsidRDefault="00A76101" w:rsidP="00D645BB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 xml:space="preserve">a repair time </w:t>
      </w:r>
      <w:r w:rsidR="00352AB2" w:rsidRPr="00D928E0">
        <w:rPr>
          <w:rFonts w:ascii="Trebuchet MS" w:hAnsi="Trebuchet MS"/>
          <w:color w:val="0070C0"/>
          <w:sz w:val="24"/>
          <w:szCs w:val="24"/>
        </w:rPr>
        <w:t xml:space="preserve">of 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less </w:t>
      </w:r>
      <w:r w:rsidR="004A5039" w:rsidRPr="00D928E0">
        <w:rPr>
          <w:rFonts w:ascii="Trebuchet MS" w:hAnsi="Trebuchet MS"/>
          <w:color w:val="0070C0"/>
          <w:sz w:val="24"/>
          <w:szCs w:val="24"/>
        </w:rPr>
        <w:t xml:space="preserve">than </w:t>
      </w:r>
      <w:r w:rsidR="00B81F74" w:rsidRPr="00D928E0">
        <w:rPr>
          <w:rFonts w:ascii="Trebuchet MS" w:hAnsi="Trebuchet MS"/>
          <w:color w:val="0070C0"/>
          <w:sz w:val="24"/>
          <w:szCs w:val="24"/>
        </w:rPr>
        <w:t>one hour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 </w:t>
      </w:r>
      <w:r w:rsidR="006B3B70" w:rsidRPr="00D928E0">
        <w:rPr>
          <w:rFonts w:ascii="Trebuchet MS" w:hAnsi="Trebuchet MS"/>
          <w:color w:val="0070C0"/>
          <w:sz w:val="24"/>
          <w:szCs w:val="24"/>
        </w:rPr>
        <w:t xml:space="preserve">and </w:t>
      </w:r>
      <w:r w:rsidR="007836B5" w:rsidRPr="00D928E0">
        <w:rPr>
          <w:rFonts w:ascii="Trebuchet MS" w:hAnsi="Trebuchet MS"/>
          <w:color w:val="0070C0"/>
          <w:sz w:val="24"/>
          <w:szCs w:val="24"/>
        </w:rPr>
        <w:t xml:space="preserve">an </w:t>
      </w:r>
      <w:r w:rsidR="006B3B70" w:rsidRPr="00D928E0">
        <w:rPr>
          <w:rFonts w:ascii="Trebuchet MS" w:hAnsi="Trebuchet MS"/>
          <w:color w:val="0070C0"/>
          <w:sz w:val="24"/>
          <w:szCs w:val="24"/>
        </w:rPr>
        <w:t>average repair cost of less than $1,000 per impact is desired</w:t>
      </w:r>
      <w:r w:rsidR="00D07C83" w:rsidRPr="00D928E0">
        <w:rPr>
          <w:rFonts w:ascii="Trebuchet MS" w:hAnsi="Trebuchet MS"/>
          <w:color w:val="0070C0"/>
          <w:sz w:val="24"/>
          <w:szCs w:val="24"/>
        </w:rPr>
        <w:t>.</w:t>
      </w:r>
    </w:p>
    <w:p w14:paraId="6E27548E" w14:textId="77777777" w:rsidR="00F24CDF" w:rsidRPr="00D928E0" w:rsidRDefault="00D07C83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Trebuchet MS" w:hAnsi="Trebuchet MS"/>
          <w:color w:val="0070C0"/>
          <w:sz w:val="24"/>
          <w:szCs w:val="24"/>
        </w:rPr>
        <w:t xml:space="preserve"> </w:t>
      </w:r>
      <w:r w:rsidR="00E82E58" w:rsidRPr="00D928E0">
        <w:rPr>
          <w:rFonts w:ascii="Trebuchet MS" w:hAnsi="Trebuchet MS"/>
          <w:color w:val="0070C0"/>
          <w:sz w:val="24"/>
          <w:szCs w:val="24"/>
        </w:rPr>
        <w:t>The special provision may be used in other locations, as determined by the Designer.</w:t>
      </w:r>
    </w:p>
    <w:p w14:paraId="75E3C44B" w14:textId="77777777" w:rsidR="00D07C83" w:rsidRPr="00D928E0" w:rsidRDefault="00D07C83" w:rsidP="00D645BB">
      <w:pPr>
        <w:widowControl w:val="0"/>
        <w:tabs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450" w:hanging="432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D928E0">
        <w:rPr>
          <w:rFonts w:ascii="Trebuchet MS" w:hAnsi="Trebuchet MS"/>
          <w:color w:val="0070C0"/>
          <w:sz w:val="24"/>
          <w:szCs w:val="24"/>
        </w:rPr>
        <w:tab/>
        <w:t>Insert the design speed.</w:t>
      </w:r>
    </w:p>
    <w:p w14:paraId="3DEE6310" w14:textId="6242830B" w:rsidR="003E2919" w:rsidRPr="00D928E0" w:rsidRDefault="003E2919" w:rsidP="00D645BB">
      <w:pPr>
        <w:widowControl w:val="0"/>
        <w:tabs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450" w:hanging="432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Segoe UI Symbol" w:hAnsi="Segoe UI Symbol" w:cs="Segoe UI Symbol"/>
          <w:color w:val="0070C0"/>
          <w:sz w:val="32"/>
          <w:szCs w:val="32"/>
        </w:rPr>
        <w:t>♪</w:t>
      </w:r>
      <w:r w:rsidRPr="00D928E0">
        <w:rPr>
          <w:rFonts w:ascii="Trebuchet MS" w:hAnsi="Trebuchet MS"/>
          <w:color w:val="0070C0"/>
          <w:sz w:val="24"/>
          <w:szCs w:val="24"/>
        </w:rPr>
        <w:tab/>
        <w:t xml:space="preserve">Insert </w:t>
      </w:r>
      <w:r w:rsidR="005E6483" w:rsidRPr="00D928E0">
        <w:rPr>
          <w:rFonts w:ascii="Trebuchet MS" w:hAnsi="Trebuchet MS"/>
          <w:color w:val="0070C0"/>
          <w:sz w:val="24"/>
          <w:szCs w:val="24"/>
        </w:rPr>
        <w:t xml:space="preserve">NCHRP Report 350 or MASH and insert 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TL-2 or TL-3.  </w:t>
      </w:r>
      <w:r w:rsidR="005E6483" w:rsidRPr="00D928E0">
        <w:rPr>
          <w:rFonts w:ascii="Trebuchet MS" w:hAnsi="Trebuchet MS"/>
          <w:color w:val="0070C0"/>
          <w:sz w:val="24"/>
          <w:szCs w:val="24"/>
        </w:rPr>
        <w:t xml:space="preserve">NCHRP Report 350 should only be used for devices developed </w:t>
      </w:r>
      <w:r w:rsidR="00B43F92">
        <w:rPr>
          <w:rFonts w:ascii="Trebuchet MS" w:hAnsi="Trebuchet MS"/>
          <w:color w:val="0070C0"/>
          <w:sz w:val="24"/>
          <w:szCs w:val="24"/>
        </w:rPr>
        <w:t>before</w:t>
      </w:r>
      <w:r w:rsidR="005E6483" w:rsidRPr="00D928E0">
        <w:rPr>
          <w:rFonts w:ascii="Trebuchet MS" w:hAnsi="Trebuchet MS"/>
          <w:color w:val="0070C0"/>
          <w:sz w:val="24"/>
          <w:szCs w:val="24"/>
        </w:rPr>
        <w:t xml:space="preserve"> 2011; otherwise, MASH testing criteria should be utilized, 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TL-2 is used for design speeds up to 45 miles per hour.  TL-3 is used for speeds </w:t>
      </w:r>
      <w:r w:rsidRPr="00D928E0">
        <w:rPr>
          <w:rFonts w:ascii="Trebuchet MS" w:hAnsi="Trebuchet MS"/>
          <w:color w:val="0070C0"/>
          <w:sz w:val="24"/>
          <w:szCs w:val="24"/>
        </w:rPr>
        <w:lastRenderedPageBreak/>
        <w:t>greater than 45 miles per hour.</w:t>
      </w:r>
    </w:p>
    <w:p w14:paraId="7D5B335A" w14:textId="77777777" w:rsidR="00D07C83" w:rsidRPr="00D928E0" w:rsidRDefault="00D07C83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Arial" w:hAnsi="Arial" w:cs="Arial"/>
          <w:color w:val="0070C0"/>
          <w:sz w:val="24"/>
          <w:szCs w:val="24"/>
        </w:rPr>
        <w:t>▲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    Insert the hazard width.   </w:t>
      </w:r>
    </w:p>
    <w:p w14:paraId="2ECDFC08" w14:textId="77777777" w:rsidR="00D07C83" w:rsidRPr="00D928E0" w:rsidRDefault="00D07C83" w:rsidP="00D645BB">
      <w:pPr>
        <w:widowControl w:val="0"/>
        <w:tabs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450" w:hanging="432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Segoe UI Symbol" w:hAnsi="Segoe UI Symbol" w:cs="Segoe UI Symbol"/>
          <w:color w:val="0070C0"/>
          <w:sz w:val="24"/>
          <w:szCs w:val="24"/>
        </w:rPr>
        <w:t>♥</w:t>
      </w:r>
      <w:r w:rsidRPr="00D928E0">
        <w:rPr>
          <w:rFonts w:ascii="Trebuchet MS" w:hAnsi="Trebuchet MS"/>
          <w:color w:val="0070C0"/>
          <w:sz w:val="24"/>
          <w:szCs w:val="24"/>
        </w:rPr>
        <w:tab/>
        <w:t>Indicate "yes" or "no".  Use of an approved transition from shielded</w:t>
      </w:r>
      <w:r w:rsidR="002A5984" w:rsidRPr="00D928E0">
        <w:rPr>
          <w:rFonts w:ascii="Trebuchet MS" w:hAnsi="Trebuchet MS"/>
          <w:color w:val="0070C0"/>
          <w:sz w:val="24"/>
          <w:szCs w:val="24"/>
        </w:rPr>
        <w:t xml:space="preserve"> obstacle to impact attenuator</w:t>
      </w:r>
      <w:r w:rsidRPr="00D928E0">
        <w:rPr>
          <w:rFonts w:ascii="Trebuchet MS" w:hAnsi="Trebuchet MS"/>
          <w:color w:val="0070C0"/>
          <w:sz w:val="24"/>
          <w:szCs w:val="24"/>
        </w:rPr>
        <w:t xml:space="preserve"> is required for bidirectional use.  </w:t>
      </w:r>
    </w:p>
    <w:p w14:paraId="2F4A8DF5" w14:textId="77777777" w:rsidR="00D07C83" w:rsidRPr="00D928E0" w:rsidRDefault="00D07C83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450" w:hanging="432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Segoe UI Symbol" w:hAnsi="Segoe UI Symbol" w:cs="Segoe UI Symbol"/>
          <w:color w:val="0070C0"/>
          <w:sz w:val="24"/>
          <w:szCs w:val="24"/>
        </w:rPr>
        <w:t>♣</w:t>
      </w:r>
      <w:r w:rsidRPr="00D928E0">
        <w:rPr>
          <w:rFonts w:ascii="Trebuchet MS" w:hAnsi="Trebuchet MS"/>
          <w:color w:val="0070C0"/>
          <w:sz w:val="24"/>
          <w:szCs w:val="24"/>
        </w:rPr>
        <w:tab/>
        <w:t>Indicate where the attenuator will be installed such as "Median", "Gore", "Roadside", or "Construction Zone".</w:t>
      </w:r>
    </w:p>
    <w:p w14:paraId="5A34BBAE" w14:textId="77777777" w:rsidR="00D07C83" w:rsidRPr="00D928E0" w:rsidRDefault="00D07C83" w:rsidP="00D645B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64" w:lineRule="atLeast"/>
        <w:ind w:left="450" w:hanging="432"/>
        <w:rPr>
          <w:rFonts w:ascii="Trebuchet MS" w:hAnsi="Trebuchet MS"/>
          <w:color w:val="0070C0"/>
          <w:sz w:val="24"/>
          <w:szCs w:val="24"/>
        </w:rPr>
      </w:pPr>
      <w:r w:rsidRPr="00D928E0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Pr="00D928E0">
        <w:rPr>
          <w:rFonts w:ascii="Trebuchet MS" w:hAnsi="Trebuchet MS"/>
          <w:color w:val="0070C0"/>
          <w:sz w:val="24"/>
          <w:szCs w:val="24"/>
        </w:rPr>
        <w:tab/>
        <w:t>Identify the object to be shielded, such as "Guardrail Type 3", Guardrail Type 7", "Bridge Rail", or other object.</w:t>
      </w:r>
    </w:p>
    <w:sectPr w:rsidR="00D07C83" w:rsidRPr="00D928E0" w:rsidSect="00CA5EB7">
      <w:headerReference w:type="default" r:id="rId7"/>
      <w:footnotePr>
        <w:pos w:val="beneathText"/>
      </w:footnotePr>
      <w:pgSz w:w="12240" w:h="15840"/>
      <w:pgMar w:top="719" w:right="108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ADBF" w14:textId="77777777" w:rsidR="006A4B64" w:rsidRDefault="006A4B64" w:rsidP="007C72BE">
      <w:r>
        <w:separator/>
      </w:r>
    </w:p>
  </w:endnote>
  <w:endnote w:type="continuationSeparator" w:id="0">
    <w:p w14:paraId="2B417F9C" w14:textId="77777777" w:rsidR="006A4B64" w:rsidRDefault="006A4B64" w:rsidP="007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72F9" w14:textId="77777777" w:rsidR="006A4B64" w:rsidRDefault="006A4B64" w:rsidP="007C72BE">
      <w:r>
        <w:separator/>
      </w:r>
    </w:p>
  </w:footnote>
  <w:footnote w:type="continuationSeparator" w:id="0">
    <w:p w14:paraId="1B769E2F" w14:textId="77777777" w:rsidR="006A4B64" w:rsidRDefault="006A4B64" w:rsidP="007C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8E02" w14:textId="77777777" w:rsidR="00D928E0" w:rsidRPr="00D928E0" w:rsidRDefault="00D928E0" w:rsidP="00D928E0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</w:tabs>
      <w:spacing w:line="264" w:lineRule="atLeast"/>
      <w:rPr>
        <w:rFonts w:ascii="Trebuchet MS" w:hAnsi="Trebuchet MS"/>
        <w:sz w:val="24"/>
        <w:szCs w:val="24"/>
      </w:rPr>
    </w:pPr>
    <w:r w:rsidRPr="00D928E0">
      <w:rPr>
        <w:rFonts w:ascii="Trebuchet MS" w:hAnsi="Trebuchet MS"/>
        <w:sz w:val="24"/>
        <w:szCs w:val="24"/>
      </w:rPr>
      <w:t>Project Special Worksheet: 614ialm</w:t>
    </w:r>
  </w:p>
  <w:p w14:paraId="0EC8A1D2" w14:textId="77777777" w:rsidR="00D928E0" w:rsidRDefault="00D928E0" w:rsidP="00D928E0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</w:tabs>
      <w:spacing w:line="264" w:lineRule="atLeast"/>
      <w:rPr>
        <w:rFonts w:ascii="Trebuchet MS" w:hAnsi="Trebuchet MS"/>
        <w:sz w:val="24"/>
        <w:szCs w:val="24"/>
      </w:rPr>
    </w:pPr>
    <w:r w:rsidRPr="00D928E0">
      <w:rPr>
        <w:rFonts w:ascii="Trebuchet MS" w:hAnsi="Trebuchet MS"/>
        <w:sz w:val="24"/>
        <w:szCs w:val="24"/>
      </w:rPr>
      <w:t>Date: January 12, 2017 (Re-issued 07-03-17)</w:t>
    </w:r>
  </w:p>
  <w:p w14:paraId="2F69CB13" w14:textId="040D561E" w:rsidR="00CD7EE1" w:rsidRPr="00B4713F" w:rsidRDefault="00CD7EE1" w:rsidP="00B4713F">
    <w:pPr>
      <w:pStyle w:val="Header"/>
      <w:rPr>
        <w:rFonts w:ascii="Trebuchet MS" w:eastAsia="Arial" w:hAnsi="Trebuchet MS"/>
        <w:sz w:val="22"/>
        <w:szCs w:val="22"/>
      </w:rPr>
    </w:pPr>
    <w:r w:rsidRPr="00B4713F">
      <w:rPr>
        <w:rFonts w:ascii="Trebuchet MS" w:hAnsi="Trebuchet MS"/>
        <w:sz w:val="22"/>
        <w:szCs w:val="22"/>
      </w:rPr>
      <w:t>ADA 8.22.23</w:t>
    </w:r>
    <w:r w:rsidRPr="00B4713F">
      <w:rPr>
        <w:rFonts w:ascii="Trebuchet MS" w:eastAsia="Arial" w:hAnsi="Trebuchet MS"/>
        <w:sz w:val="22"/>
        <w:szCs w:val="22"/>
      </w:rPr>
      <w:t xml:space="preserve"> </w:t>
    </w:r>
  </w:p>
  <w:sdt>
    <w:sdtPr>
      <w:rPr>
        <w:rFonts w:ascii="Trebuchet MS" w:eastAsia="Arial" w:hAnsi="Trebuchet MS"/>
        <w:b/>
        <w:sz w:val="28"/>
      </w:rPr>
      <w:id w:val="-526256196"/>
      <w:docPartObj>
        <w:docPartGallery w:val="Page Numbers (Top of Page)"/>
        <w:docPartUnique/>
      </w:docPartObj>
    </w:sdtPr>
    <w:sdtEndPr>
      <w:rPr>
        <w:rFonts w:eastAsia="Times New Roman"/>
        <w:b w:val="0"/>
        <w:noProof/>
        <w:sz w:val="22"/>
        <w:szCs w:val="22"/>
      </w:rPr>
    </w:sdtEndPr>
    <w:sdtContent>
      <w:p w14:paraId="16084B44" w14:textId="55B83466" w:rsidR="00D928E0" w:rsidRDefault="00D928E0">
        <w:pPr>
          <w:pStyle w:val="Header"/>
          <w:jc w:val="center"/>
          <w:rPr>
            <w:rFonts w:ascii="Trebuchet MS" w:hAnsi="Trebuchet MS"/>
            <w:noProof/>
            <w:sz w:val="22"/>
            <w:szCs w:val="22"/>
          </w:rPr>
        </w:pPr>
        <w:r w:rsidRPr="00D928E0">
          <w:rPr>
            <w:rFonts w:ascii="Trebuchet MS" w:hAnsi="Trebuchet MS"/>
            <w:sz w:val="22"/>
            <w:szCs w:val="22"/>
          </w:rPr>
          <w:fldChar w:fldCharType="begin"/>
        </w:r>
        <w:r w:rsidRPr="00D928E0">
          <w:rPr>
            <w:rFonts w:ascii="Trebuchet MS" w:hAnsi="Trebuchet MS"/>
            <w:sz w:val="22"/>
            <w:szCs w:val="22"/>
          </w:rPr>
          <w:instrText xml:space="preserve"> PAGE   \* MERGEFORMAT </w:instrText>
        </w:r>
        <w:r w:rsidRPr="00D928E0">
          <w:rPr>
            <w:rFonts w:ascii="Trebuchet MS" w:hAnsi="Trebuchet MS"/>
            <w:sz w:val="22"/>
            <w:szCs w:val="22"/>
          </w:rPr>
          <w:fldChar w:fldCharType="separate"/>
        </w:r>
        <w:r w:rsidRPr="00D928E0">
          <w:rPr>
            <w:rFonts w:ascii="Trebuchet MS" w:hAnsi="Trebuchet MS"/>
            <w:noProof/>
            <w:sz w:val="22"/>
            <w:szCs w:val="22"/>
          </w:rPr>
          <w:t>2</w:t>
        </w:r>
        <w:r w:rsidRPr="00D928E0">
          <w:rPr>
            <w:rFonts w:ascii="Trebuchet MS" w:hAnsi="Trebuchet MS"/>
            <w:noProof/>
            <w:sz w:val="22"/>
            <w:szCs w:val="22"/>
          </w:rPr>
          <w:fldChar w:fldCharType="end"/>
        </w:r>
      </w:p>
    </w:sdtContent>
  </w:sdt>
  <w:p w14:paraId="50B073D7" w14:textId="77777777" w:rsidR="00A15E9A" w:rsidRDefault="00A15E9A" w:rsidP="00A15E9A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</w:tabs>
      <w:spacing w:line="264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</w:lvl>
  </w:abstractNum>
  <w:abstractNum w:abstractNumId="1" w15:restartNumberingAfterBreak="0">
    <w:nsid w:val="00000002"/>
    <w:multiLevelType w:val="multilevel"/>
    <w:tmpl w:val="41E662A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177C7F"/>
    <w:multiLevelType w:val="hybridMultilevel"/>
    <w:tmpl w:val="DC847408"/>
    <w:lvl w:ilvl="0" w:tplc="B38EE9BE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7546">
    <w:abstractNumId w:val="0"/>
  </w:num>
  <w:num w:numId="2" w16cid:durableId="123817132">
    <w:abstractNumId w:val="1"/>
  </w:num>
  <w:num w:numId="3" w16cid:durableId="418453769">
    <w:abstractNumId w:val="0"/>
    <w:lvlOverride w:ilvl="0">
      <w:startOverride w:val="1"/>
    </w:lvlOverride>
  </w:num>
  <w:num w:numId="4" w16cid:durableId="33037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C"/>
    <w:rsid w:val="000343EB"/>
    <w:rsid w:val="000414FF"/>
    <w:rsid w:val="00050A34"/>
    <w:rsid w:val="00060502"/>
    <w:rsid w:val="000A1E75"/>
    <w:rsid w:val="000E2E6A"/>
    <w:rsid w:val="000E5136"/>
    <w:rsid w:val="000F2CE4"/>
    <w:rsid w:val="00111354"/>
    <w:rsid w:val="0011349A"/>
    <w:rsid w:val="001272A0"/>
    <w:rsid w:val="001468F9"/>
    <w:rsid w:val="00152127"/>
    <w:rsid w:val="001727EA"/>
    <w:rsid w:val="00174726"/>
    <w:rsid w:val="001B6E26"/>
    <w:rsid w:val="001E4BE9"/>
    <w:rsid w:val="001F4D6F"/>
    <w:rsid w:val="00204A3E"/>
    <w:rsid w:val="0021577C"/>
    <w:rsid w:val="002266C9"/>
    <w:rsid w:val="00244612"/>
    <w:rsid w:val="00244E11"/>
    <w:rsid w:val="00264E74"/>
    <w:rsid w:val="00281194"/>
    <w:rsid w:val="00281EEC"/>
    <w:rsid w:val="00294F41"/>
    <w:rsid w:val="002A5984"/>
    <w:rsid w:val="0030108E"/>
    <w:rsid w:val="00311BEE"/>
    <w:rsid w:val="00325F7F"/>
    <w:rsid w:val="00347FAB"/>
    <w:rsid w:val="00352AB2"/>
    <w:rsid w:val="00354C78"/>
    <w:rsid w:val="00356B02"/>
    <w:rsid w:val="00395E5A"/>
    <w:rsid w:val="003A3864"/>
    <w:rsid w:val="003B1514"/>
    <w:rsid w:val="003E2919"/>
    <w:rsid w:val="003E6C9F"/>
    <w:rsid w:val="003F3795"/>
    <w:rsid w:val="00445C2C"/>
    <w:rsid w:val="00460BCE"/>
    <w:rsid w:val="00467CF7"/>
    <w:rsid w:val="00472ECF"/>
    <w:rsid w:val="004A5039"/>
    <w:rsid w:val="005352C3"/>
    <w:rsid w:val="00540790"/>
    <w:rsid w:val="00584C7A"/>
    <w:rsid w:val="00587144"/>
    <w:rsid w:val="00587794"/>
    <w:rsid w:val="00595B61"/>
    <w:rsid w:val="005D23BA"/>
    <w:rsid w:val="005E173F"/>
    <w:rsid w:val="005E6483"/>
    <w:rsid w:val="005E7C3D"/>
    <w:rsid w:val="00600EC4"/>
    <w:rsid w:val="006201A8"/>
    <w:rsid w:val="00633716"/>
    <w:rsid w:val="0064291B"/>
    <w:rsid w:val="006617BA"/>
    <w:rsid w:val="00687DD6"/>
    <w:rsid w:val="00693367"/>
    <w:rsid w:val="006A4B64"/>
    <w:rsid w:val="006A5477"/>
    <w:rsid w:val="006B0930"/>
    <w:rsid w:val="006B3B70"/>
    <w:rsid w:val="00745DAC"/>
    <w:rsid w:val="00757A1C"/>
    <w:rsid w:val="007836B5"/>
    <w:rsid w:val="0079015A"/>
    <w:rsid w:val="00792337"/>
    <w:rsid w:val="007A7ADE"/>
    <w:rsid w:val="007B1DD6"/>
    <w:rsid w:val="007C72BE"/>
    <w:rsid w:val="007D0BF8"/>
    <w:rsid w:val="007D6E86"/>
    <w:rsid w:val="007E2F35"/>
    <w:rsid w:val="00805544"/>
    <w:rsid w:val="0082413D"/>
    <w:rsid w:val="00825345"/>
    <w:rsid w:val="008309C9"/>
    <w:rsid w:val="0085079D"/>
    <w:rsid w:val="00863E81"/>
    <w:rsid w:val="0086645A"/>
    <w:rsid w:val="00890B28"/>
    <w:rsid w:val="009158F8"/>
    <w:rsid w:val="009170E4"/>
    <w:rsid w:val="00955417"/>
    <w:rsid w:val="00961D43"/>
    <w:rsid w:val="009A1618"/>
    <w:rsid w:val="009B2282"/>
    <w:rsid w:val="009E0273"/>
    <w:rsid w:val="009E5E82"/>
    <w:rsid w:val="009E7F25"/>
    <w:rsid w:val="00A02A8C"/>
    <w:rsid w:val="00A04887"/>
    <w:rsid w:val="00A15E9A"/>
    <w:rsid w:val="00A2092F"/>
    <w:rsid w:val="00A3174D"/>
    <w:rsid w:val="00A63889"/>
    <w:rsid w:val="00A67685"/>
    <w:rsid w:val="00A76101"/>
    <w:rsid w:val="00AB3BB5"/>
    <w:rsid w:val="00B17616"/>
    <w:rsid w:val="00B43F92"/>
    <w:rsid w:val="00B4713F"/>
    <w:rsid w:val="00B670E7"/>
    <w:rsid w:val="00B747D2"/>
    <w:rsid w:val="00B770E0"/>
    <w:rsid w:val="00B807D1"/>
    <w:rsid w:val="00B81F74"/>
    <w:rsid w:val="00B93FE1"/>
    <w:rsid w:val="00BA794F"/>
    <w:rsid w:val="00BB3101"/>
    <w:rsid w:val="00BB5D8B"/>
    <w:rsid w:val="00BB75A1"/>
    <w:rsid w:val="00BD49FC"/>
    <w:rsid w:val="00BD6DB8"/>
    <w:rsid w:val="00BE503E"/>
    <w:rsid w:val="00C43D96"/>
    <w:rsid w:val="00C624BA"/>
    <w:rsid w:val="00C7218A"/>
    <w:rsid w:val="00CA280A"/>
    <w:rsid w:val="00CA5EB7"/>
    <w:rsid w:val="00CA682C"/>
    <w:rsid w:val="00CD7EE1"/>
    <w:rsid w:val="00D05FC5"/>
    <w:rsid w:val="00D07C83"/>
    <w:rsid w:val="00D110EF"/>
    <w:rsid w:val="00D645BB"/>
    <w:rsid w:val="00D90315"/>
    <w:rsid w:val="00D928E0"/>
    <w:rsid w:val="00DB7EE5"/>
    <w:rsid w:val="00DC0B32"/>
    <w:rsid w:val="00DD0F09"/>
    <w:rsid w:val="00E024E5"/>
    <w:rsid w:val="00E056A5"/>
    <w:rsid w:val="00E43624"/>
    <w:rsid w:val="00E5562B"/>
    <w:rsid w:val="00E65EA6"/>
    <w:rsid w:val="00E82E58"/>
    <w:rsid w:val="00E96422"/>
    <w:rsid w:val="00EA1625"/>
    <w:rsid w:val="00EA1965"/>
    <w:rsid w:val="00ED3A64"/>
    <w:rsid w:val="00EE060B"/>
    <w:rsid w:val="00EF1724"/>
    <w:rsid w:val="00F24265"/>
    <w:rsid w:val="00F24CDF"/>
    <w:rsid w:val="00F27608"/>
    <w:rsid w:val="00F8400B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6BF6"/>
  <w15:docId w15:val="{774E0AF0-FCD6-4AE9-9388-07E39E5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EB7"/>
    <w:pPr>
      <w:suppressAutoHyphens/>
    </w:pPr>
    <w:rPr>
      <w:lang w:eastAsia="ar-SA"/>
    </w:rPr>
  </w:style>
  <w:style w:type="paragraph" w:styleId="Heading1">
    <w:name w:val="heading 1"/>
    <w:next w:val="Normal"/>
    <w:qFormat/>
    <w:rsid w:val="00955417"/>
    <w:pPr>
      <w:numPr>
        <w:numId w:val="2"/>
      </w:numPr>
      <w:suppressAutoHyphens/>
      <w:jc w:val="center"/>
      <w:outlineLvl w:val="0"/>
    </w:pPr>
    <w:rPr>
      <w:rFonts w:ascii="Trebuchet MS" w:eastAsia="Arial" w:hAnsi="Trebuchet MS"/>
      <w:b/>
      <w:sz w:val="28"/>
      <w:lang w:eastAsia="ar-SA"/>
    </w:rPr>
  </w:style>
  <w:style w:type="paragraph" w:styleId="Heading2">
    <w:name w:val="heading 2"/>
    <w:next w:val="Normal"/>
    <w:qFormat/>
    <w:rsid w:val="00955417"/>
    <w:pPr>
      <w:numPr>
        <w:ilvl w:val="1"/>
        <w:numId w:val="2"/>
      </w:numPr>
      <w:suppressAutoHyphens/>
      <w:jc w:val="center"/>
      <w:outlineLvl w:val="1"/>
    </w:pPr>
    <w:rPr>
      <w:rFonts w:ascii="Trebuchet MS" w:eastAsia="Arial" w:hAnsi="Trebuchet MS"/>
      <w:b/>
      <w:sz w:val="28"/>
      <w:lang w:eastAsia="ar-SA"/>
    </w:rPr>
  </w:style>
  <w:style w:type="paragraph" w:styleId="Heading3">
    <w:name w:val="heading 3"/>
    <w:next w:val="Normal"/>
    <w:qFormat/>
    <w:rsid w:val="00CA5EB7"/>
    <w:pPr>
      <w:numPr>
        <w:ilvl w:val="2"/>
        <w:numId w:val="2"/>
      </w:numPr>
      <w:suppressAutoHyphens/>
      <w:outlineLvl w:val="2"/>
    </w:pPr>
    <w:rPr>
      <w:rFonts w:eastAsia="Arial"/>
      <w:lang w:eastAsia="ar-SA"/>
    </w:rPr>
  </w:style>
  <w:style w:type="paragraph" w:styleId="Heading4">
    <w:name w:val="heading 4"/>
    <w:next w:val="Normal"/>
    <w:qFormat/>
    <w:rsid w:val="00CA5EB7"/>
    <w:pPr>
      <w:numPr>
        <w:ilvl w:val="3"/>
        <w:numId w:val="2"/>
      </w:numPr>
      <w:suppressAutoHyphens/>
      <w:outlineLvl w:val="3"/>
    </w:pPr>
    <w:rPr>
      <w:rFonts w:eastAsia="Arial"/>
      <w:lang w:eastAsia="ar-SA"/>
    </w:rPr>
  </w:style>
  <w:style w:type="paragraph" w:styleId="Heading5">
    <w:name w:val="heading 5"/>
    <w:next w:val="Normal"/>
    <w:qFormat/>
    <w:rsid w:val="00CA5EB7"/>
    <w:pPr>
      <w:numPr>
        <w:ilvl w:val="4"/>
        <w:numId w:val="2"/>
      </w:numPr>
      <w:suppressAutoHyphens/>
      <w:outlineLvl w:val="4"/>
    </w:pPr>
    <w:rPr>
      <w:rFonts w:eastAsia="Arial"/>
      <w:lang w:eastAsia="ar-SA"/>
    </w:rPr>
  </w:style>
  <w:style w:type="paragraph" w:styleId="Heading6">
    <w:name w:val="heading 6"/>
    <w:next w:val="Normal"/>
    <w:qFormat/>
    <w:rsid w:val="00CA5EB7"/>
    <w:pPr>
      <w:numPr>
        <w:ilvl w:val="5"/>
        <w:numId w:val="2"/>
      </w:numPr>
      <w:suppressAutoHyphens/>
      <w:outlineLvl w:val="5"/>
    </w:pPr>
    <w:rPr>
      <w:rFonts w:eastAsia="Arial"/>
      <w:lang w:eastAsia="ar-SA"/>
    </w:rPr>
  </w:style>
  <w:style w:type="paragraph" w:styleId="Heading7">
    <w:name w:val="heading 7"/>
    <w:next w:val="Normal"/>
    <w:qFormat/>
    <w:rsid w:val="00CA5EB7"/>
    <w:pPr>
      <w:numPr>
        <w:ilvl w:val="6"/>
        <w:numId w:val="2"/>
      </w:numPr>
      <w:suppressAutoHyphens/>
      <w:outlineLvl w:val="6"/>
    </w:pPr>
    <w:rPr>
      <w:rFonts w:eastAsia="Arial"/>
      <w:lang w:eastAsia="ar-SA"/>
    </w:rPr>
  </w:style>
  <w:style w:type="paragraph" w:styleId="Heading8">
    <w:name w:val="heading 8"/>
    <w:next w:val="Normal"/>
    <w:qFormat/>
    <w:rsid w:val="00CA5EB7"/>
    <w:pPr>
      <w:numPr>
        <w:ilvl w:val="7"/>
        <w:numId w:val="2"/>
      </w:numPr>
      <w:suppressAutoHyphens/>
      <w:outlineLvl w:val="7"/>
    </w:pPr>
    <w:rPr>
      <w:rFonts w:eastAsia="Arial"/>
      <w:lang w:eastAsia="ar-SA"/>
    </w:rPr>
  </w:style>
  <w:style w:type="paragraph" w:styleId="Heading9">
    <w:name w:val="heading 9"/>
    <w:next w:val="Normal"/>
    <w:qFormat/>
    <w:rsid w:val="00CA5EB7"/>
    <w:pPr>
      <w:numPr>
        <w:ilvl w:val="8"/>
        <w:numId w:val="2"/>
      </w:numPr>
      <w:suppressAutoHyphens/>
      <w:outlineLvl w:val="8"/>
    </w:pPr>
    <w:rPr>
      <w:rFonts w:eastAsia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A5EB7"/>
  </w:style>
  <w:style w:type="character" w:customStyle="1" w:styleId="WW-DefaultParagraphFont">
    <w:name w:val="WW-Default Paragraph Font"/>
    <w:rsid w:val="00CA5EB7"/>
  </w:style>
  <w:style w:type="character" w:styleId="CommentReference">
    <w:name w:val="annotation reference"/>
    <w:basedOn w:val="DefaultParagraphFont"/>
    <w:rsid w:val="00CA5EB7"/>
    <w:rPr>
      <w:sz w:val="16"/>
      <w:szCs w:val="16"/>
    </w:rPr>
  </w:style>
  <w:style w:type="paragraph" w:customStyle="1" w:styleId="Heading">
    <w:name w:val="Heading"/>
    <w:basedOn w:val="Normal"/>
    <w:next w:val="BodyText"/>
    <w:rsid w:val="00CA5EB7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sid w:val="00CA5EB7"/>
    <w:pPr>
      <w:spacing w:after="120"/>
    </w:pPr>
  </w:style>
  <w:style w:type="paragraph" w:styleId="List">
    <w:name w:val="List"/>
    <w:basedOn w:val="BodyText"/>
    <w:rsid w:val="00CA5EB7"/>
    <w:rPr>
      <w:rFonts w:cs="Tahoma"/>
    </w:rPr>
  </w:style>
  <w:style w:type="paragraph" w:styleId="Caption">
    <w:name w:val="caption"/>
    <w:basedOn w:val="Normal"/>
    <w:qFormat/>
    <w:rsid w:val="00CA5E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A5EB7"/>
    <w:pPr>
      <w:suppressLineNumbers/>
    </w:pPr>
    <w:rPr>
      <w:rFonts w:cs="Tahoma"/>
    </w:rPr>
  </w:style>
  <w:style w:type="paragraph" w:styleId="BalloonText">
    <w:name w:val="Balloon Text"/>
    <w:basedOn w:val="Normal"/>
    <w:rsid w:val="00CA5EB7"/>
    <w:rPr>
      <w:rFonts w:ascii="Tahoma" w:hAnsi="Tahoma" w:cs="Tahoma"/>
      <w:sz w:val="16"/>
      <w:szCs w:val="16"/>
    </w:rPr>
  </w:style>
  <w:style w:type="paragraph" w:customStyle="1" w:styleId="DocStyle">
    <w:name w:val="DocStyle"/>
    <w:basedOn w:val="Normal"/>
    <w:rsid w:val="00CA5EB7"/>
  </w:style>
  <w:style w:type="paragraph" w:styleId="DocumentMap">
    <w:name w:val="Document Map"/>
    <w:basedOn w:val="Normal"/>
    <w:rsid w:val="00CA5EB7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rsid w:val="00CA5EB7"/>
  </w:style>
  <w:style w:type="paragraph" w:styleId="CommentSubject">
    <w:name w:val="annotation subject"/>
    <w:basedOn w:val="CommentText"/>
    <w:next w:val="CommentText"/>
    <w:rsid w:val="00CA5EB7"/>
    <w:rPr>
      <w:b/>
      <w:bCs/>
    </w:rPr>
  </w:style>
  <w:style w:type="paragraph" w:styleId="Header">
    <w:name w:val="header"/>
    <w:basedOn w:val="Normal"/>
    <w:link w:val="HeaderChar"/>
    <w:uiPriority w:val="99"/>
    <w:rsid w:val="007C7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BE"/>
    <w:rPr>
      <w:lang w:eastAsia="ar-SA"/>
    </w:rPr>
  </w:style>
  <w:style w:type="paragraph" w:styleId="Footer">
    <w:name w:val="footer"/>
    <w:basedOn w:val="Normal"/>
    <w:link w:val="FooterChar"/>
    <w:rsid w:val="007C7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2BE"/>
    <w:rPr>
      <w:lang w:eastAsia="ar-SA"/>
    </w:rPr>
  </w:style>
  <w:style w:type="paragraph" w:styleId="ListParagraph">
    <w:name w:val="List Paragraph"/>
    <w:basedOn w:val="Normal"/>
    <w:uiPriority w:val="34"/>
    <w:qFormat/>
    <w:rsid w:val="00472ECF"/>
    <w:pPr>
      <w:ind w:left="720"/>
      <w:contextualSpacing/>
    </w:pPr>
  </w:style>
  <w:style w:type="table" w:styleId="PlainTable1">
    <w:name w:val="Plain Table 1"/>
    <w:basedOn w:val="TableNormal"/>
    <w:uiPriority w:val="41"/>
    <w:rsid w:val="00E65E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614 Impact Attenuator (Low Maintenance) worksheet</vt:lpstr>
    </vt:vector>
  </TitlesOfParts>
  <Company>CDOT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 Impact Attenuator (Low Maintenance) worksheet</dc:title>
  <dc:creator>Bill Schiebel</dc:creator>
  <cp:lastModifiedBy>Kayen, Michele</cp:lastModifiedBy>
  <cp:revision>8</cp:revision>
  <cp:lastPrinted>2008-06-04T20:42:00Z</cp:lastPrinted>
  <dcterms:created xsi:type="dcterms:W3CDTF">2023-08-23T19:52:00Z</dcterms:created>
  <dcterms:modified xsi:type="dcterms:W3CDTF">2025-02-06T21:01:00Z</dcterms:modified>
</cp:coreProperties>
</file>