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5100D" w14:textId="77777777" w:rsidR="00F80C77" w:rsidRDefault="00F80C77" w:rsidP="00F80C77">
      <w:pPr>
        <w:jc w:val="center"/>
        <w:rPr>
          <w:rFonts w:ascii="Trebuchet MS" w:hAnsi="Trebuchet MS" w:cs="Times New Roman"/>
          <w:sz w:val="40"/>
          <w:szCs w:val="40"/>
        </w:rPr>
      </w:pPr>
      <w:bookmarkStart w:id="0" w:name="_Hlk154760327"/>
    </w:p>
    <w:p w14:paraId="3467A58E" w14:textId="320BAE93" w:rsidR="00F80C77" w:rsidRPr="00CD2C55" w:rsidRDefault="00F80C77" w:rsidP="00F80C77">
      <w:pPr>
        <w:jc w:val="center"/>
        <w:rPr>
          <w:rFonts w:ascii="Trebuchet MS" w:hAnsi="Trebuchet MS" w:cs="Times New Roman"/>
          <w:sz w:val="40"/>
          <w:szCs w:val="40"/>
        </w:rPr>
      </w:pPr>
      <w:r w:rsidRPr="00CD2C55">
        <w:rPr>
          <w:rFonts w:ascii="Trebuchet MS" w:hAnsi="Trebuchet MS" w:cs="Times New Roman"/>
          <w:sz w:val="40"/>
          <w:szCs w:val="40"/>
        </w:rPr>
        <w:t>Notice</w:t>
      </w:r>
    </w:p>
    <w:p w14:paraId="0746F86E" w14:textId="77777777" w:rsidR="00F80C77" w:rsidRPr="00CD2C55" w:rsidRDefault="00F80C77" w:rsidP="00F80C77">
      <w:pPr>
        <w:rPr>
          <w:rFonts w:ascii="Trebuchet MS" w:hAnsi="Trebuchet MS"/>
          <w:sz w:val="28"/>
          <w:szCs w:val="28"/>
        </w:rPr>
      </w:pPr>
    </w:p>
    <w:p w14:paraId="48B53E25" w14:textId="77777777" w:rsidR="00F80C77" w:rsidRPr="00CD2C55" w:rsidRDefault="00F80C77" w:rsidP="00F80C77">
      <w:pPr>
        <w:pStyle w:val="NormalWeb"/>
        <w:spacing w:before="0" w:beforeAutospacing="0" w:after="0" w:afterAutospacing="0"/>
        <w:rPr>
          <w:rFonts w:ascii="Trebuchet MS" w:hAnsi="Trebuchet MS"/>
          <w:color w:val="0E101A"/>
          <w:sz w:val="28"/>
          <w:szCs w:val="28"/>
        </w:rPr>
      </w:pPr>
      <w:bookmarkStart w:id="1" w:name="_Hlk154760081"/>
      <w:bookmarkEnd w:id="0"/>
      <w:r>
        <w:rPr>
          <w:rFonts w:ascii="Trebuchet MS" w:hAnsi="Trebuchet MS"/>
          <w:color w:val="0E101A"/>
          <w:sz w:val="28"/>
          <w:szCs w:val="28"/>
        </w:rPr>
        <w:t>T</w:t>
      </w:r>
      <w:bookmarkStart w:id="2" w:name="_Hlk154759004"/>
      <w:r>
        <w:rPr>
          <w:rFonts w:ascii="Trebuchet MS" w:hAnsi="Trebuchet MS"/>
          <w:color w:val="0E101A"/>
          <w:sz w:val="28"/>
          <w:szCs w:val="28"/>
        </w:rPr>
        <w:t xml:space="preserve">he </w:t>
      </w:r>
      <w:r w:rsidRPr="00CD2C55">
        <w:rPr>
          <w:rFonts w:ascii="Trebuchet MS" w:hAnsi="Trebuchet MS"/>
          <w:color w:val="0E101A"/>
          <w:sz w:val="28"/>
          <w:szCs w:val="28"/>
        </w:rPr>
        <w:t xml:space="preserve">Standard Special Provision (SSP) </w:t>
      </w:r>
      <w:r>
        <w:rPr>
          <w:rFonts w:ascii="Trebuchet MS" w:hAnsi="Trebuchet MS"/>
          <w:color w:val="0E101A"/>
          <w:sz w:val="28"/>
          <w:szCs w:val="28"/>
        </w:rPr>
        <w:t xml:space="preserve">on the following page </w:t>
      </w:r>
      <w:r w:rsidRPr="00CD2C55">
        <w:rPr>
          <w:rFonts w:ascii="Trebuchet MS" w:hAnsi="Trebuchet MS"/>
          <w:color w:val="0E101A"/>
          <w:sz w:val="28"/>
          <w:szCs w:val="28"/>
        </w:rPr>
        <w:t>revises or modifies CDOT’s </w:t>
      </w:r>
      <w:r w:rsidRPr="00F80C77">
        <w:rPr>
          <w:rStyle w:val="Emphasis"/>
          <w:rFonts w:ascii="Trebuchet MS" w:eastAsiaTheme="majorEastAsia" w:hAnsi="Trebuchet MS"/>
          <w:color w:val="0E101A"/>
          <w:sz w:val="28"/>
          <w:szCs w:val="28"/>
        </w:rPr>
        <w:t>Standard Specifications for Road and Bridge Construction</w:t>
      </w:r>
      <w:r w:rsidRPr="00F80C77">
        <w:rPr>
          <w:rFonts w:ascii="Trebuchet MS" w:hAnsi="Trebuchet MS"/>
          <w:color w:val="0E101A"/>
          <w:sz w:val="28"/>
          <w:szCs w:val="28"/>
        </w:rPr>
        <w:t xml:space="preserve">. </w:t>
      </w:r>
      <w:r w:rsidRPr="00CD2C55">
        <w:rPr>
          <w:rFonts w:ascii="Trebuchet MS" w:hAnsi="Trebuchet MS"/>
          <w:color w:val="0E101A"/>
          <w:sz w:val="28"/>
          <w:szCs w:val="28"/>
        </w:rPr>
        <w:t xml:space="preserve">The Construction Engineering Services Branch has reviewed, approved, and issued it. Use as written without change. Do not use modified versions of </w:t>
      </w:r>
      <w:r>
        <w:rPr>
          <w:rFonts w:ascii="Trebuchet MS" w:hAnsi="Trebuchet MS"/>
          <w:color w:val="0E101A"/>
          <w:sz w:val="28"/>
          <w:szCs w:val="28"/>
        </w:rPr>
        <w:t>it</w:t>
      </w:r>
      <w:r w:rsidRPr="00CD2C55">
        <w:rPr>
          <w:rFonts w:ascii="Trebuchet MS" w:hAnsi="Trebuchet MS"/>
          <w:color w:val="0E101A"/>
          <w:sz w:val="28"/>
          <w:szCs w:val="28"/>
        </w:rPr>
        <w:t xml:space="preserve"> on CDOT construction projects. Do not use </w:t>
      </w:r>
      <w:r>
        <w:rPr>
          <w:rFonts w:ascii="Trebuchet MS" w:hAnsi="Trebuchet MS"/>
          <w:color w:val="0E101A"/>
          <w:sz w:val="28"/>
          <w:szCs w:val="28"/>
        </w:rPr>
        <w:t>the following</w:t>
      </w:r>
      <w:r w:rsidRPr="00CD2C55">
        <w:rPr>
          <w:rFonts w:ascii="Trebuchet MS" w:hAnsi="Trebuchet MS"/>
          <w:color w:val="0E101A"/>
          <w:sz w:val="28"/>
          <w:szCs w:val="28"/>
        </w:rPr>
        <w:t xml:space="preserve"> special provision on CDOT projects in a manner other than specified in the instructions without approval by CDOT’s Standards and Specifications Unit. The instructions for use appear below.</w:t>
      </w:r>
    </w:p>
    <w:p w14:paraId="6C1DF565" w14:textId="77777777" w:rsidR="00F80C77" w:rsidRPr="00CD2C55" w:rsidRDefault="00F80C77" w:rsidP="00F80C77">
      <w:pPr>
        <w:pStyle w:val="NormalWeb"/>
        <w:spacing w:before="0" w:beforeAutospacing="0" w:after="0" w:afterAutospacing="0"/>
        <w:rPr>
          <w:rFonts w:ascii="Trebuchet MS" w:hAnsi="Trebuchet MS"/>
          <w:color w:val="0E101A"/>
          <w:sz w:val="28"/>
          <w:szCs w:val="28"/>
        </w:rPr>
      </w:pPr>
    </w:p>
    <w:p w14:paraId="545C095E" w14:textId="77777777" w:rsidR="00F80C77" w:rsidRPr="00CD2C55" w:rsidRDefault="00F80C77" w:rsidP="00F80C77">
      <w:pPr>
        <w:pStyle w:val="NormalWeb"/>
        <w:spacing w:before="0" w:beforeAutospacing="0" w:after="0" w:afterAutospacing="0"/>
        <w:rPr>
          <w:rFonts w:ascii="Trebuchet MS" w:hAnsi="Trebuchet MS"/>
          <w:color w:val="0E101A"/>
          <w:sz w:val="28"/>
          <w:szCs w:val="28"/>
        </w:rPr>
      </w:pPr>
      <w:r w:rsidRPr="00CD2C55">
        <w:rPr>
          <w:rFonts w:ascii="Trebuchet MS" w:hAnsi="Trebuchet MS"/>
          <w:color w:val="0E101A"/>
          <w:sz w:val="28"/>
          <w:szCs w:val="28"/>
        </w:rPr>
        <w:t>Other agencies using the </w:t>
      </w:r>
      <w:r w:rsidRPr="00F80C77">
        <w:rPr>
          <w:rStyle w:val="Emphasis"/>
          <w:rFonts w:ascii="Trebuchet MS" w:eastAsiaTheme="majorEastAsia" w:hAnsi="Trebuchet MS"/>
          <w:color w:val="0E101A"/>
          <w:sz w:val="28"/>
          <w:szCs w:val="28"/>
        </w:rPr>
        <w:t>Standard Specifications for Road and Bridge Construction</w:t>
      </w:r>
      <w:r w:rsidRPr="00F80C77">
        <w:rPr>
          <w:rFonts w:ascii="Trebuchet MS" w:hAnsi="Trebuchet MS"/>
          <w:color w:val="0E101A"/>
          <w:sz w:val="28"/>
          <w:szCs w:val="28"/>
        </w:rPr>
        <w:t> </w:t>
      </w:r>
      <w:r w:rsidRPr="00CD2C55">
        <w:rPr>
          <w:rFonts w:ascii="Trebuchet MS" w:hAnsi="Trebuchet MS"/>
          <w:color w:val="0E101A"/>
          <w:sz w:val="28"/>
          <w:szCs w:val="28"/>
        </w:rPr>
        <w:t>to administer construction projects may use this special provision appropriately and at their own risk.</w:t>
      </w:r>
    </w:p>
    <w:bookmarkEnd w:id="2"/>
    <w:p w14:paraId="69E047B8" w14:textId="77777777" w:rsidR="00F80C77" w:rsidRPr="00CD2C55" w:rsidRDefault="00F80C77" w:rsidP="00F80C77">
      <w:pPr>
        <w:spacing w:after="0"/>
        <w:rPr>
          <w:rFonts w:ascii="Trebuchet MS" w:hAnsi="Trebuchet MS" w:cs="Times New Roman"/>
          <w:sz w:val="28"/>
          <w:szCs w:val="28"/>
        </w:rPr>
      </w:pPr>
    </w:p>
    <w:p w14:paraId="5C2C3F40" w14:textId="77777777" w:rsidR="00F80C77" w:rsidRPr="00CD2C55" w:rsidRDefault="00F80C77" w:rsidP="00F80C77">
      <w:pPr>
        <w:spacing w:after="0"/>
        <w:rPr>
          <w:rFonts w:ascii="Trebuchet MS" w:hAnsi="Trebuchet MS" w:cs="Times New Roman"/>
          <w:b/>
          <w:color w:val="A50021"/>
          <w:sz w:val="28"/>
          <w:szCs w:val="28"/>
        </w:rPr>
      </w:pPr>
      <w:r w:rsidRPr="00CD2C55">
        <w:rPr>
          <w:rFonts w:ascii="Trebuchet MS" w:hAnsi="Trebuchet MS" w:cs="Times New Roman"/>
          <w:b/>
          <w:color w:val="A50021"/>
          <w:sz w:val="28"/>
          <w:szCs w:val="28"/>
        </w:rPr>
        <w:t>Instructions for use on CDOT construction projects:</w:t>
      </w:r>
    </w:p>
    <w:p w14:paraId="6438A4D2" w14:textId="5F0DCD82" w:rsidR="00172897" w:rsidRDefault="00F80C77" w:rsidP="00F80C77">
      <w:pPr>
        <w:spacing w:after="0"/>
        <w:rPr>
          <w:rFonts w:ascii="Trebuchet MS" w:eastAsia="Times New Roman" w:hAnsi="Trebuchet MS" w:cs="Times New Roman"/>
          <w:sz w:val="28"/>
          <w:szCs w:val="28"/>
        </w:rPr>
      </w:pPr>
      <w:r w:rsidRPr="004D5F12">
        <w:rPr>
          <w:rFonts w:ascii="Trebuchet MS" w:eastAsia="Times New Roman" w:hAnsi="Trebuchet MS" w:cs="Times New Roman"/>
          <w:sz w:val="28"/>
          <w:szCs w:val="28"/>
        </w:rPr>
        <w:t xml:space="preserve">Use the following standard special provision on all </w:t>
      </w:r>
      <w:bookmarkEnd w:id="1"/>
      <w:r w:rsidRPr="004D5F12">
        <w:rPr>
          <w:rFonts w:ascii="Trebuchet MS" w:eastAsia="Times New Roman" w:hAnsi="Trebuchet MS" w:cs="Times New Roman"/>
          <w:sz w:val="28"/>
          <w:szCs w:val="28"/>
        </w:rPr>
        <w:t>projects.</w:t>
      </w:r>
    </w:p>
    <w:p w14:paraId="7C6CDC4F" w14:textId="77777777" w:rsidR="00F80C77" w:rsidRDefault="00F80C77" w:rsidP="00F80C77">
      <w:pPr>
        <w:spacing w:after="0"/>
        <w:rPr>
          <w:rFonts w:ascii="Trebuchet MS" w:eastAsia="Times New Roman" w:hAnsi="Trebuchet MS" w:cs="Times New Roman"/>
          <w:sz w:val="28"/>
          <w:szCs w:val="28"/>
        </w:rPr>
      </w:pPr>
    </w:p>
    <w:p w14:paraId="585F1855" w14:textId="77777777" w:rsidR="00F80C77" w:rsidRDefault="00F80C77" w:rsidP="00F80C77">
      <w:pPr>
        <w:spacing w:after="0"/>
        <w:rPr>
          <w:rFonts w:ascii="Trebuchet MS" w:eastAsia="Times New Roman" w:hAnsi="Trebuchet MS" w:cs="Times New Roman"/>
          <w:sz w:val="28"/>
          <w:szCs w:val="28"/>
        </w:rPr>
      </w:pPr>
    </w:p>
    <w:p w14:paraId="4391C70B" w14:textId="77777777" w:rsidR="00F80C77" w:rsidRDefault="00F80C77" w:rsidP="00F80C77">
      <w:pPr>
        <w:spacing w:after="0"/>
        <w:rPr>
          <w:rFonts w:ascii="Trebuchet MS" w:eastAsia="Times New Roman" w:hAnsi="Trebuchet MS" w:cs="Times New Roman"/>
          <w:sz w:val="28"/>
          <w:szCs w:val="28"/>
        </w:rPr>
      </w:pPr>
    </w:p>
    <w:p w14:paraId="3E0435E5" w14:textId="42946FC7" w:rsidR="00F80C77" w:rsidRDefault="00F80C77">
      <w:pPr>
        <w:rPr>
          <w:rFonts w:ascii="Trebuchet MS" w:eastAsia="Times New Roman" w:hAnsi="Trebuchet MS" w:cs="Times New Roman"/>
          <w:sz w:val="28"/>
          <w:szCs w:val="28"/>
        </w:rPr>
      </w:pPr>
      <w:r>
        <w:rPr>
          <w:rFonts w:ascii="Trebuchet MS" w:eastAsia="Times New Roman" w:hAnsi="Trebuchet MS" w:cs="Times New Roman"/>
          <w:sz w:val="28"/>
          <w:szCs w:val="28"/>
        </w:rPr>
        <w:br w:type="page"/>
      </w:r>
    </w:p>
    <w:p w14:paraId="42E84DC6" w14:textId="77777777" w:rsidR="00F80C77" w:rsidRDefault="00F80C77" w:rsidP="00F80C77">
      <w:pPr>
        <w:tabs>
          <w:tab w:val="left" w:pos="5040"/>
        </w:tabs>
        <w:rPr>
          <w:rFonts w:ascii="Trebuchet MS" w:hAnsi="Trebuchet MS"/>
          <w:b/>
          <w:bCs/>
          <w:sz w:val="24"/>
          <w:szCs w:val="24"/>
        </w:rPr>
      </w:pPr>
    </w:p>
    <w:p w14:paraId="7647718E" w14:textId="177371FA" w:rsidR="00F80C77" w:rsidRPr="00766360" w:rsidRDefault="00F80C77" w:rsidP="00F80C77">
      <w:pPr>
        <w:tabs>
          <w:tab w:val="left" w:pos="5040"/>
        </w:tabs>
        <w:rPr>
          <w:rFonts w:ascii="Trebuchet MS" w:hAnsi="Trebuchet MS"/>
          <w:b/>
          <w:bCs/>
          <w:sz w:val="24"/>
          <w:szCs w:val="24"/>
        </w:rPr>
      </w:pPr>
      <w:r w:rsidRPr="00766360">
        <w:rPr>
          <w:rFonts w:ascii="Trebuchet MS" w:hAnsi="Trebuchet MS"/>
          <w:b/>
          <w:bCs/>
          <w:sz w:val="24"/>
          <w:szCs w:val="24"/>
        </w:rPr>
        <w:t>Revise Section 101 of the Standard Specifications as follows:</w:t>
      </w:r>
    </w:p>
    <w:p w14:paraId="788B1CAE" w14:textId="77777777" w:rsidR="00F80C77" w:rsidRPr="00766360" w:rsidRDefault="00F80C77" w:rsidP="00F80C77">
      <w:pPr>
        <w:spacing w:before="80" w:after="240"/>
        <w:rPr>
          <w:rFonts w:ascii="Trebuchet MS" w:hAnsi="Trebuchet MS"/>
          <w:b/>
          <w:sz w:val="24"/>
          <w:szCs w:val="24"/>
        </w:rPr>
      </w:pPr>
      <w:bookmarkStart w:id="3" w:name="_Toc47198127"/>
      <w:bookmarkStart w:id="4" w:name="_Toc47358887"/>
      <w:bookmarkStart w:id="5" w:name="_Toc49508142"/>
      <w:bookmarkStart w:id="6" w:name="_Toc464117973"/>
      <w:bookmarkStart w:id="7" w:name="_Toc465662550"/>
      <w:bookmarkStart w:id="8" w:name="_Toc471726566"/>
      <w:bookmarkStart w:id="9" w:name="_Toc479171950"/>
      <w:r w:rsidRPr="00766360">
        <w:rPr>
          <w:rFonts w:ascii="Trebuchet MS" w:hAnsi="Trebuchet MS"/>
          <w:b/>
          <w:bCs/>
          <w:sz w:val="24"/>
          <w:szCs w:val="24"/>
        </w:rPr>
        <w:t>Delete and replace the following definitions in subsection 101.02:</w:t>
      </w:r>
    </w:p>
    <w:p w14:paraId="0BD82AA9" w14:textId="77777777" w:rsidR="00F80C77" w:rsidRPr="00766360" w:rsidRDefault="00F80C77" w:rsidP="00F80C77">
      <w:pPr>
        <w:pStyle w:val="SubsectionHead"/>
        <w:rPr>
          <w:rFonts w:ascii="Trebuchet MS" w:hAnsi="Trebuchet MS" w:cs="Arial"/>
          <w:vanish/>
          <w:sz w:val="24"/>
          <w:szCs w:val="24"/>
          <w:specVanish/>
        </w:rPr>
      </w:pPr>
      <w:r w:rsidRPr="00766360">
        <w:rPr>
          <w:rFonts w:ascii="Trebuchet MS" w:hAnsi="Trebuchet MS" w:cs="Arial"/>
          <w:sz w:val="24"/>
          <w:szCs w:val="24"/>
        </w:rPr>
        <w:t>Subcontractor</w:t>
      </w:r>
      <w:bookmarkEnd w:id="3"/>
      <w:bookmarkEnd w:id="4"/>
      <w:bookmarkEnd w:id="5"/>
      <w:r w:rsidRPr="00766360">
        <w:rPr>
          <w:rFonts w:ascii="Trebuchet MS" w:hAnsi="Trebuchet MS" w:cs="Arial"/>
          <w:sz w:val="24"/>
          <w:szCs w:val="24"/>
        </w:rPr>
        <w:fldChar w:fldCharType="begin"/>
      </w:r>
      <w:r w:rsidRPr="00766360">
        <w:rPr>
          <w:rFonts w:ascii="Trebuchet MS" w:hAnsi="Trebuchet MS" w:cs="Arial"/>
          <w:sz w:val="24"/>
          <w:szCs w:val="24"/>
        </w:rPr>
        <w:instrText xml:space="preserve"> XE "Subcontractor" </w:instrText>
      </w:r>
      <w:r w:rsidRPr="00766360">
        <w:rPr>
          <w:rFonts w:ascii="Trebuchet MS" w:hAnsi="Trebuchet MS" w:cs="Arial"/>
          <w:sz w:val="24"/>
          <w:szCs w:val="24"/>
        </w:rPr>
        <w:fldChar w:fldCharType="end"/>
      </w:r>
    </w:p>
    <w:p w14:paraId="7EE95B26" w14:textId="77777777" w:rsidR="00F80C77" w:rsidRPr="00766360" w:rsidRDefault="00F80C77" w:rsidP="00F80C77">
      <w:pPr>
        <w:rPr>
          <w:rFonts w:ascii="Trebuchet MS" w:eastAsia="Trebuchet MS" w:hAnsi="Trebuchet MS" w:cs="Trebuchet MS"/>
          <w:sz w:val="24"/>
          <w:szCs w:val="24"/>
          <w:highlight w:val="white"/>
        </w:rPr>
      </w:pPr>
      <w:r w:rsidRPr="00766360">
        <w:rPr>
          <w:rFonts w:ascii="Trebuchet MS" w:hAnsi="Trebuchet MS"/>
          <w:b/>
          <w:bCs/>
          <w:kern w:val="2"/>
          <w:sz w:val="24"/>
          <w:szCs w:val="24"/>
        </w:rPr>
        <w:t xml:space="preserve">. </w:t>
      </w:r>
      <w:bookmarkEnd w:id="6"/>
      <w:bookmarkEnd w:id="7"/>
      <w:bookmarkEnd w:id="8"/>
      <w:bookmarkEnd w:id="9"/>
      <w:r w:rsidRPr="00766360">
        <w:rPr>
          <w:rFonts w:ascii="Trebuchet MS" w:eastAsia="Trebuchet MS" w:hAnsi="Trebuchet MS" w:cs="Trebuchet MS"/>
          <w:sz w:val="24"/>
          <w:szCs w:val="24"/>
          <w:highlight w:val="white"/>
        </w:rPr>
        <w:t>An individual, firm, corporation, or other legal entity at any tier to whom the Contractor sublets part of the Contract.  A subcontractor shall include an individual, firm, corporation, or other legal entity who</w:t>
      </w:r>
      <w:bookmarkStart w:id="10" w:name="_GoBack"/>
      <w:bookmarkEnd w:id="10"/>
      <w:r w:rsidRPr="00766360">
        <w:rPr>
          <w:rFonts w:ascii="Trebuchet MS" w:eastAsia="Trebuchet MS" w:hAnsi="Trebuchet MS" w:cs="Trebuchet MS"/>
          <w:sz w:val="24"/>
          <w:szCs w:val="24"/>
          <w:highlight w:val="white"/>
        </w:rPr>
        <w:t xml:space="preserve"> meets one or both of the following criteria:</w:t>
      </w:r>
    </w:p>
    <w:p w14:paraId="0A495470" w14:textId="77777777" w:rsidR="00F80C77" w:rsidRPr="00766360" w:rsidRDefault="00F80C77" w:rsidP="00F80C77">
      <w:pPr>
        <w:rPr>
          <w:rFonts w:ascii="Trebuchet MS" w:eastAsia="Trebuchet MS" w:hAnsi="Trebuchet MS" w:cs="Trebuchet MS"/>
          <w:sz w:val="24"/>
          <w:szCs w:val="24"/>
          <w:highlight w:val="white"/>
        </w:rPr>
      </w:pPr>
      <w:r w:rsidRPr="009F7329">
        <w:rPr>
          <w:rFonts w:ascii="Trebuchet MS" w:eastAsia="Trebuchet MS" w:hAnsi="Trebuchet MS" w:cs="Trebuchet MS"/>
          <w:i/>
          <w:iCs/>
          <w:sz w:val="24"/>
          <w:szCs w:val="24"/>
          <w:highlight w:val="white"/>
        </w:rPr>
        <w:t>(a)</w:t>
      </w:r>
      <w:r w:rsidRPr="00766360">
        <w:rPr>
          <w:rFonts w:ascii="Trebuchet MS" w:eastAsia="Trebuchet MS" w:hAnsi="Trebuchet MS" w:cs="Trebuchet MS"/>
          <w:sz w:val="24"/>
          <w:szCs w:val="24"/>
          <w:highlight w:val="white"/>
        </w:rPr>
        <w:t xml:space="preserve"> Establishes a fabricating process or facility exclusively for the use of the Project, whether on or off the site of work per 29 CFR 5.2 Site of Work (1)(</w:t>
      </w:r>
      <w:proofErr w:type="spellStart"/>
      <w:r w:rsidRPr="00766360">
        <w:rPr>
          <w:rFonts w:ascii="Trebuchet MS" w:eastAsia="Trebuchet MS" w:hAnsi="Trebuchet MS" w:cs="Trebuchet MS"/>
          <w:sz w:val="24"/>
          <w:szCs w:val="24"/>
          <w:highlight w:val="white"/>
        </w:rPr>
        <w:t>i</w:t>
      </w:r>
      <w:proofErr w:type="spellEnd"/>
      <w:r w:rsidRPr="00766360">
        <w:rPr>
          <w:rFonts w:ascii="Trebuchet MS" w:eastAsia="Trebuchet MS" w:hAnsi="Trebuchet MS" w:cs="Trebuchet MS"/>
          <w:sz w:val="24"/>
          <w:szCs w:val="24"/>
          <w:highlight w:val="white"/>
        </w:rPr>
        <w:t>)(ii)(iii).</w:t>
      </w:r>
    </w:p>
    <w:p w14:paraId="3A39112C" w14:textId="77777777" w:rsidR="00F80C77" w:rsidRPr="00766360" w:rsidRDefault="00F80C77" w:rsidP="00F80C77">
      <w:pPr>
        <w:rPr>
          <w:rFonts w:ascii="Trebuchet MS" w:eastAsia="Trebuchet MS" w:hAnsi="Trebuchet MS" w:cs="Trebuchet MS"/>
          <w:sz w:val="24"/>
          <w:szCs w:val="24"/>
          <w:highlight w:val="white"/>
        </w:rPr>
      </w:pPr>
      <w:r w:rsidRPr="009F7329">
        <w:rPr>
          <w:rFonts w:ascii="Trebuchet MS" w:eastAsia="Trebuchet MS" w:hAnsi="Trebuchet MS" w:cs="Trebuchet MS"/>
          <w:i/>
          <w:iCs/>
          <w:sz w:val="24"/>
          <w:szCs w:val="24"/>
          <w:highlight w:val="white"/>
        </w:rPr>
        <w:t>(b)</w:t>
      </w:r>
      <w:r w:rsidRPr="00766360">
        <w:rPr>
          <w:rFonts w:ascii="Trebuchet MS" w:eastAsia="Trebuchet MS" w:hAnsi="Trebuchet MS" w:cs="Trebuchet MS"/>
          <w:sz w:val="24"/>
          <w:szCs w:val="24"/>
          <w:highlight w:val="white"/>
        </w:rPr>
        <w:t xml:space="preserve"> Performs work that is incorporated within the Project limits.</w:t>
      </w:r>
    </w:p>
    <w:p w14:paraId="3A549F93" w14:textId="77777777" w:rsidR="00F80C77" w:rsidRPr="00766360" w:rsidRDefault="00F80C77" w:rsidP="00F80C77">
      <w:pPr>
        <w:spacing w:before="80" w:after="240"/>
        <w:rPr>
          <w:rFonts w:ascii="Trebuchet MS" w:hAnsi="Trebuchet MS"/>
          <w:b/>
          <w:bCs/>
          <w:sz w:val="24"/>
          <w:szCs w:val="24"/>
        </w:rPr>
      </w:pPr>
    </w:p>
    <w:p w14:paraId="5B7A9508" w14:textId="77777777" w:rsidR="00F80C77" w:rsidRPr="00766360" w:rsidRDefault="00F80C77" w:rsidP="00F80C77">
      <w:pPr>
        <w:rPr>
          <w:rFonts w:ascii="Trebuchet MS" w:eastAsia="Trebuchet MS" w:hAnsi="Trebuchet MS" w:cs="Trebuchet MS"/>
          <w:sz w:val="24"/>
          <w:szCs w:val="24"/>
        </w:rPr>
      </w:pPr>
      <w:r w:rsidRPr="00766360">
        <w:rPr>
          <w:rFonts w:ascii="Trebuchet MS" w:eastAsia="Trebuchet MS" w:hAnsi="Trebuchet MS" w:cs="Trebuchet MS"/>
          <w:b/>
          <w:bCs/>
          <w:sz w:val="24"/>
          <w:szCs w:val="24"/>
        </w:rPr>
        <w:t>Supplier:</w:t>
      </w:r>
      <w:r w:rsidRPr="00766360">
        <w:rPr>
          <w:rFonts w:ascii="Trebuchet MS" w:eastAsia="Trebuchet MS" w:hAnsi="Trebuchet MS" w:cs="Trebuchet MS"/>
          <w:sz w:val="24"/>
          <w:szCs w:val="24"/>
        </w:rPr>
        <w:t xml:space="preserve">  An individual, firm, or corporation who meets all of the following criteria:</w:t>
      </w:r>
    </w:p>
    <w:p w14:paraId="02CD4FC1" w14:textId="77777777" w:rsidR="00F80C77" w:rsidRPr="00766360" w:rsidRDefault="00F80C77" w:rsidP="00F80C77">
      <w:pPr>
        <w:ind w:left="360" w:hanging="360"/>
        <w:rPr>
          <w:rFonts w:ascii="Trebuchet MS" w:eastAsia="Trebuchet MS" w:hAnsi="Trebuchet MS" w:cs="Trebuchet MS"/>
          <w:sz w:val="24"/>
          <w:szCs w:val="24"/>
        </w:rPr>
      </w:pPr>
      <w:r w:rsidRPr="00766360">
        <w:rPr>
          <w:rFonts w:ascii="Trebuchet MS" w:eastAsia="Trebuchet MS" w:hAnsi="Trebuchet MS" w:cs="Trebuchet MS"/>
          <w:i/>
          <w:iCs/>
          <w:sz w:val="24"/>
          <w:szCs w:val="24"/>
        </w:rPr>
        <w:t>(a)</w:t>
      </w:r>
      <w:r w:rsidRPr="00766360">
        <w:rPr>
          <w:rFonts w:ascii="Trebuchet MS" w:eastAsia="Trebuchet MS" w:hAnsi="Trebuchet MS" w:cs="Trebuchet MS"/>
          <w:sz w:val="24"/>
          <w:szCs w:val="24"/>
        </w:rPr>
        <w:t xml:space="preserve"> Sells manufactured materials as a broker, distributor, dealer, manufacturer, or wholesaler who may or may not deliver the materials to the site of work. </w:t>
      </w:r>
    </w:p>
    <w:p w14:paraId="197947A7" w14:textId="77777777" w:rsidR="00F80C77" w:rsidRPr="00766360" w:rsidRDefault="00F80C77" w:rsidP="00F80C77">
      <w:pPr>
        <w:ind w:left="360" w:hanging="360"/>
        <w:rPr>
          <w:rFonts w:ascii="Trebuchet MS" w:eastAsia="Trebuchet MS" w:hAnsi="Trebuchet MS" w:cs="Trebuchet MS"/>
          <w:sz w:val="24"/>
          <w:szCs w:val="24"/>
        </w:rPr>
      </w:pPr>
      <w:r w:rsidRPr="00766360">
        <w:rPr>
          <w:rFonts w:ascii="Trebuchet MS" w:eastAsia="Trebuchet MS" w:hAnsi="Trebuchet MS" w:cs="Trebuchet MS"/>
          <w:i/>
          <w:iCs/>
          <w:sz w:val="24"/>
          <w:szCs w:val="24"/>
        </w:rPr>
        <w:t xml:space="preserve">(b) </w:t>
      </w:r>
      <w:r w:rsidRPr="00766360">
        <w:rPr>
          <w:rFonts w:ascii="Trebuchet MS" w:eastAsia="Trebuchet MS" w:hAnsi="Trebuchet MS" w:cs="Trebuchet MS"/>
          <w:sz w:val="24"/>
          <w:szCs w:val="24"/>
        </w:rPr>
        <w:t>The manufacturing of the materials, articles, supplies, or equipment used for the contract that is being supplied shall come from a facility or facilities that:</w:t>
      </w:r>
    </w:p>
    <w:p w14:paraId="5CBE8F69" w14:textId="77777777" w:rsidR="00F80C77" w:rsidRPr="00766360" w:rsidRDefault="00F80C77" w:rsidP="00F80C77">
      <w:pPr>
        <w:spacing w:before="240" w:after="240"/>
        <w:ind w:left="720" w:hanging="360"/>
        <w:rPr>
          <w:rFonts w:ascii="Trebuchet MS" w:eastAsia="Trebuchet MS" w:hAnsi="Trebuchet MS" w:cs="Trebuchet MS"/>
          <w:sz w:val="24"/>
          <w:szCs w:val="24"/>
        </w:rPr>
      </w:pPr>
      <w:r w:rsidRPr="00766360">
        <w:rPr>
          <w:rFonts w:ascii="Trebuchet MS" w:eastAsia="Trebuchet MS" w:hAnsi="Trebuchet MS" w:cs="Trebuchet MS"/>
          <w:sz w:val="24"/>
          <w:szCs w:val="24"/>
        </w:rPr>
        <w:t>(1) Is not located on, nor does itself constitute, the project or contract's primary construction site or secondary construction site as defined in 29 CFR 5.2; and</w:t>
      </w:r>
    </w:p>
    <w:p w14:paraId="15909367" w14:textId="77777777" w:rsidR="00F80C77" w:rsidRPr="00766360" w:rsidRDefault="00F80C77" w:rsidP="00F80C77">
      <w:pPr>
        <w:spacing w:before="240" w:after="240"/>
        <w:ind w:left="720" w:hanging="360"/>
        <w:rPr>
          <w:rFonts w:ascii="Trebuchet MS" w:eastAsia="Trebuchet MS" w:hAnsi="Trebuchet MS" w:cs="Trebuchet MS"/>
          <w:sz w:val="24"/>
          <w:szCs w:val="24"/>
        </w:rPr>
      </w:pPr>
      <w:r w:rsidRPr="00766360">
        <w:rPr>
          <w:rFonts w:ascii="Trebuchet MS" w:eastAsia="Trebuchet MS" w:hAnsi="Trebuchet MS" w:cs="Trebuchet MS"/>
          <w:sz w:val="24"/>
          <w:szCs w:val="24"/>
        </w:rPr>
        <w:t>(2) Either was established before opening of bids on the contract, or is not dedicated exclusively, or nearly so, to the performance of the contract.</w:t>
      </w:r>
    </w:p>
    <w:p w14:paraId="66738B3E" w14:textId="77777777" w:rsidR="00F80C77" w:rsidRPr="00766360" w:rsidRDefault="00F80C77" w:rsidP="00F80C77">
      <w:pPr>
        <w:spacing w:before="240" w:after="240"/>
        <w:ind w:left="360" w:hanging="360"/>
        <w:rPr>
          <w:rFonts w:ascii="Trebuchet MS" w:eastAsia="Trebuchet MS" w:hAnsi="Trebuchet MS" w:cs="Trebuchet MS"/>
          <w:sz w:val="24"/>
          <w:szCs w:val="24"/>
        </w:rPr>
      </w:pPr>
      <w:r w:rsidRPr="00766360">
        <w:rPr>
          <w:rFonts w:ascii="Trebuchet MS" w:eastAsia="Trebuchet MS" w:hAnsi="Trebuchet MS" w:cs="Trebuchet MS"/>
          <w:i/>
          <w:iCs/>
          <w:sz w:val="24"/>
          <w:szCs w:val="24"/>
        </w:rPr>
        <w:t>(c)</w:t>
      </w:r>
      <w:r w:rsidRPr="00766360">
        <w:rPr>
          <w:rFonts w:ascii="Trebuchet MS" w:eastAsia="Trebuchet MS" w:hAnsi="Trebuchet MS" w:cs="Trebuchet MS"/>
          <w:sz w:val="24"/>
          <w:szCs w:val="24"/>
        </w:rPr>
        <w:t xml:space="preserve"> The supplier’s only obligations for activity on the contract is the delivery of materials, articles, supplies, or equipment, which may include pickup of the same in addition to, but not exclusive of, delivery, and which may also include activities incidental to such delivery and pickup, such as loading, unloading, or waiting for materials to be loaded or unloaded; and</w:t>
      </w:r>
    </w:p>
    <w:p w14:paraId="79B1A588" w14:textId="77777777" w:rsidR="00F80C77" w:rsidRPr="00766360" w:rsidRDefault="00F80C77" w:rsidP="00F80C77">
      <w:pPr>
        <w:spacing w:before="240" w:after="240"/>
        <w:ind w:left="360" w:hanging="360"/>
        <w:rPr>
          <w:rFonts w:ascii="Trebuchet MS" w:eastAsia="Trebuchet MS" w:hAnsi="Trebuchet MS" w:cs="Trebuchet MS"/>
          <w:sz w:val="24"/>
          <w:szCs w:val="24"/>
        </w:rPr>
      </w:pPr>
      <w:r w:rsidRPr="00766360">
        <w:rPr>
          <w:rFonts w:ascii="Trebuchet MS" w:eastAsia="Trebuchet MS" w:hAnsi="Trebuchet MS" w:cs="Trebuchet MS"/>
          <w:i/>
          <w:iCs/>
          <w:sz w:val="24"/>
          <w:szCs w:val="24"/>
        </w:rPr>
        <w:t>(d)</w:t>
      </w:r>
      <w:r w:rsidRPr="00766360">
        <w:rPr>
          <w:rFonts w:ascii="Trebuchet MS" w:eastAsia="Trebuchet MS" w:hAnsi="Trebuchet MS" w:cs="Trebuchet MS"/>
          <w:sz w:val="24"/>
          <w:szCs w:val="24"/>
        </w:rPr>
        <w:t xml:space="preserve"> If an entity, in addition to being engaged in the activities specified in paragraph (c) of this definition, also engages in other construction, prosecution, completion, or repair on the site of the work, then this entity is not a supplier but a contractor.  </w:t>
      </w:r>
    </w:p>
    <w:p w14:paraId="7234C041" w14:textId="77777777" w:rsidR="00F80C77" w:rsidRDefault="00F80C77" w:rsidP="00F80C77">
      <w:pPr>
        <w:tabs>
          <w:tab w:val="left" w:pos="5040"/>
        </w:tabs>
        <w:rPr>
          <w:rFonts w:ascii="Trebuchet MS" w:hAnsi="Trebuchet MS"/>
          <w:b/>
          <w:bCs/>
          <w:sz w:val="24"/>
          <w:szCs w:val="24"/>
        </w:rPr>
      </w:pPr>
    </w:p>
    <w:p w14:paraId="2F2854B5" w14:textId="53AB6B00" w:rsidR="00F80C77" w:rsidRPr="00683FFB" w:rsidRDefault="00F80C77" w:rsidP="00F80C77">
      <w:pPr>
        <w:tabs>
          <w:tab w:val="left" w:pos="5040"/>
        </w:tabs>
        <w:rPr>
          <w:rFonts w:ascii="Trebuchet MS" w:hAnsi="Trebuchet MS"/>
          <w:b/>
          <w:bCs/>
          <w:sz w:val="24"/>
          <w:szCs w:val="24"/>
        </w:rPr>
      </w:pPr>
      <w:r w:rsidRPr="00683FFB">
        <w:rPr>
          <w:rFonts w:ascii="Trebuchet MS" w:hAnsi="Trebuchet MS"/>
          <w:b/>
          <w:bCs/>
          <w:sz w:val="24"/>
          <w:szCs w:val="24"/>
        </w:rPr>
        <w:t>Revise Section 106 of the Standard Specifications as follows:</w:t>
      </w:r>
    </w:p>
    <w:p w14:paraId="5F950A2A" w14:textId="77777777" w:rsidR="00F80C77" w:rsidRDefault="00F80C77" w:rsidP="00F80C77">
      <w:pPr>
        <w:spacing w:before="80" w:after="240"/>
        <w:rPr>
          <w:rFonts w:ascii="Trebuchet MS" w:hAnsi="Trebuchet MS"/>
          <w:b/>
          <w:sz w:val="20"/>
        </w:rPr>
      </w:pPr>
      <w:r>
        <w:rPr>
          <w:rFonts w:ascii="Trebuchet MS" w:hAnsi="Trebuchet MS"/>
          <w:b/>
          <w:bCs/>
        </w:rPr>
        <w:t>Delete and replace subsection 106.01 with the following:</w:t>
      </w:r>
    </w:p>
    <w:p w14:paraId="57E06297" w14:textId="7557B3D1" w:rsidR="00F80C77" w:rsidRPr="00766360" w:rsidRDefault="00F80C77" w:rsidP="00F80C77">
      <w:pPr>
        <w:rPr>
          <w:rFonts w:ascii="Trebuchet MS" w:hAnsi="Trebuchet MS"/>
          <w:sz w:val="24"/>
          <w:szCs w:val="24"/>
        </w:rPr>
      </w:pPr>
      <w:r w:rsidRPr="00766360">
        <w:rPr>
          <w:rFonts w:ascii="Trebuchet MS" w:hAnsi="Trebuchet MS"/>
          <w:b/>
          <w:bCs/>
          <w:sz w:val="24"/>
          <w:szCs w:val="24"/>
        </w:rPr>
        <w:t>106.01 Source of Supply and Quality Requirements.</w:t>
      </w:r>
      <w:r w:rsidRPr="00766360">
        <w:rPr>
          <w:rFonts w:ascii="Trebuchet MS" w:hAnsi="Trebuchet MS"/>
          <w:sz w:val="24"/>
          <w:szCs w:val="24"/>
        </w:rPr>
        <w:t xml:space="preserve"> All materials used shall meet all quality requirements of the Contract. The Contractor shall comply with the requirements of the special notice to contractors contained in the Department’s Field Materials Manual, including notifying the Engineer of the proposed sources of materials at least two weeks before delivery.</w:t>
      </w:r>
    </w:p>
    <w:p w14:paraId="039920B7" w14:textId="77777777" w:rsidR="00F80C77" w:rsidRPr="00766360" w:rsidRDefault="00F80C77" w:rsidP="00F80C77">
      <w:pPr>
        <w:rPr>
          <w:rFonts w:ascii="Trebuchet MS" w:hAnsi="Trebuchet MS"/>
          <w:sz w:val="24"/>
          <w:szCs w:val="24"/>
        </w:rPr>
      </w:pPr>
      <w:r w:rsidRPr="00766360">
        <w:rPr>
          <w:rFonts w:ascii="Trebuchet MS" w:hAnsi="Trebuchet MS"/>
          <w:sz w:val="24"/>
          <w:szCs w:val="24"/>
        </w:rPr>
        <w:t xml:space="preserve">When alternative materials are permitted for an item in the Contract, the Contractor shall state at the Pre-construction Conference the material that will be furnished for that item. </w:t>
      </w:r>
    </w:p>
    <w:p w14:paraId="2D8F27CC" w14:textId="77777777" w:rsidR="00F80C77" w:rsidRPr="00766360" w:rsidRDefault="00F80C77" w:rsidP="00F80C77">
      <w:pPr>
        <w:rPr>
          <w:rFonts w:ascii="Trebuchet MS" w:hAnsi="Trebuchet MS"/>
          <w:sz w:val="24"/>
          <w:szCs w:val="24"/>
        </w:rPr>
      </w:pPr>
      <w:r w:rsidRPr="00766360">
        <w:rPr>
          <w:rFonts w:ascii="Trebuchet MS" w:hAnsi="Trebuchet MS"/>
          <w:sz w:val="24"/>
          <w:szCs w:val="24"/>
        </w:rPr>
        <w:t xml:space="preserve">Reference in the Contract to a particular product or to the product of a specific manufacturer, followed by the phrase “or approved equal”, is intended only to establish a standard of quality, durability, and design, and shall not be construed as limiting competition. Products of other manufacturers will be acceptable provided such products are equal to that specified. </w:t>
      </w:r>
    </w:p>
    <w:p w14:paraId="78B0C977" w14:textId="77777777" w:rsidR="00F80C77" w:rsidRPr="00766360" w:rsidRDefault="00F80C77" w:rsidP="00F80C77">
      <w:pPr>
        <w:rPr>
          <w:rFonts w:ascii="Trebuchet MS" w:hAnsi="Trebuchet MS"/>
          <w:sz w:val="24"/>
          <w:szCs w:val="24"/>
        </w:rPr>
      </w:pPr>
      <w:r w:rsidRPr="00766360">
        <w:rPr>
          <w:rFonts w:ascii="Trebuchet MS" w:hAnsi="Trebuchet MS"/>
          <w:sz w:val="24"/>
          <w:szCs w:val="24"/>
        </w:rPr>
        <w:t xml:space="preserve">All rental equipment companies and all entities who meet the Supplier definition, as outlined in 101.02, in which the written agreement exceeds $10,000, shall have the following requirements for the Contract: </w:t>
      </w:r>
    </w:p>
    <w:p w14:paraId="466F6E17" w14:textId="77777777" w:rsidR="00F80C77" w:rsidRPr="00766360" w:rsidRDefault="00F80C77" w:rsidP="00F80C77">
      <w:pPr>
        <w:numPr>
          <w:ilvl w:val="0"/>
          <w:numId w:val="4"/>
        </w:numPr>
        <w:spacing w:after="0" w:line="276" w:lineRule="auto"/>
        <w:ind w:left="360"/>
        <w:rPr>
          <w:rFonts w:ascii="Trebuchet MS" w:hAnsi="Trebuchet MS"/>
          <w:sz w:val="24"/>
          <w:szCs w:val="24"/>
        </w:rPr>
      </w:pPr>
      <w:r w:rsidRPr="00766360">
        <w:rPr>
          <w:rFonts w:ascii="Trebuchet MS" w:hAnsi="Trebuchet MS"/>
          <w:sz w:val="24"/>
          <w:szCs w:val="24"/>
        </w:rPr>
        <w:t>Rental equipment companies and Suppliers shall create an account in the B2GNow software system.</w:t>
      </w:r>
    </w:p>
    <w:p w14:paraId="3BDF3BAD" w14:textId="77777777" w:rsidR="00F80C77" w:rsidRPr="00766360" w:rsidRDefault="00F80C77" w:rsidP="00F80C77">
      <w:pPr>
        <w:numPr>
          <w:ilvl w:val="0"/>
          <w:numId w:val="4"/>
        </w:numPr>
        <w:spacing w:after="0" w:line="276" w:lineRule="auto"/>
        <w:ind w:left="360"/>
        <w:rPr>
          <w:rFonts w:ascii="Trebuchet MS" w:hAnsi="Trebuchet MS"/>
          <w:sz w:val="24"/>
          <w:szCs w:val="24"/>
        </w:rPr>
      </w:pPr>
      <w:r w:rsidRPr="00766360">
        <w:rPr>
          <w:rFonts w:ascii="Trebuchet MS" w:hAnsi="Trebuchet MS"/>
          <w:sz w:val="24"/>
          <w:szCs w:val="24"/>
        </w:rPr>
        <w:t>The Contractor shall submit a completed Form 1425 in the B2GNow software system at such time that the $10,000 amount is known to be exceeded and/or before the following occurs on the Contract:</w:t>
      </w:r>
    </w:p>
    <w:p w14:paraId="7E013515" w14:textId="77777777" w:rsidR="00F80C77" w:rsidRPr="00766360" w:rsidRDefault="00F80C77" w:rsidP="00F80C77">
      <w:pPr>
        <w:numPr>
          <w:ilvl w:val="1"/>
          <w:numId w:val="5"/>
        </w:numPr>
        <w:spacing w:after="0" w:line="276" w:lineRule="auto"/>
        <w:rPr>
          <w:rFonts w:ascii="Trebuchet MS" w:hAnsi="Trebuchet MS"/>
          <w:sz w:val="24"/>
          <w:szCs w:val="24"/>
        </w:rPr>
      </w:pPr>
      <w:r w:rsidRPr="00766360">
        <w:rPr>
          <w:rFonts w:ascii="Trebuchet MS" w:hAnsi="Trebuchet MS"/>
          <w:sz w:val="24"/>
          <w:szCs w:val="24"/>
        </w:rPr>
        <w:t xml:space="preserve">the Supplier’s upper tier begins work, or </w:t>
      </w:r>
    </w:p>
    <w:p w14:paraId="0F5E73A6" w14:textId="77777777" w:rsidR="00F80C77" w:rsidRPr="00766360" w:rsidRDefault="00F80C77" w:rsidP="00F80C77">
      <w:pPr>
        <w:numPr>
          <w:ilvl w:val="1"/>
          <w:numId w:val="5"/>
        </w:numPr>
        <w:spacing w:after="0" w:line="276" w:lineRule="auto"/>
        <w:rPr>
          <w:rFonts w:ascii="Trebuchet MS" w:hAnsi="Trebuchet MS"/>
          <w:sz w:val="24"/>
          <w:szCs w:val="24"/>
        </w:rPr>
      </w:pPr>
      <w:r w:rsidRPr="00766360">
        <w:rPr>
          <w:rFonts w:ascii="Trebuchet MS" w:hAnsi="Trebuchet MS"/>
          <w:sz w:val="24"/>
          <w:szCs w:val="24"/>
        </w:rPr>
        <w:t xml:space="preserve">rental equipment is being used, or </w:t>
      </w:r>
    </w:p>
    <w:p w14:paraId="35875516" w14:textId="77777777" w:rsidR="00F80C77" w:rsidRPr="00766360" w:rsidRDefault="00F80C77" w:rsidP="00F80C77">
      <w:pPr>
        <w:numPr>
          <w:ilvl w:val="1"/>
          <w:numId w:val="5"/>
        </w:numPr>
        <w:spacing w:after="0" w:line="276" w:lineRule="auto"/>
        <w:rPr>
          <w:rFonts w:ascii="Trebuchet MS" w:hAnsi="Trebuchet MS"/>
          <w:sz w:val="24"/>
          <w:szCs w:val="24"/>
        </w:rPr>
      </w:pPr>
      <w:r w:rsidRPr="00766360">
        <w:rPr>
          <w:rFonts w:ascii="Trebuchet MS" w:hAnsi="Trebuchet MS"/>
          <w:sz w:val="24"/>
          <w:szCs w:val="24"/>
        </w:rPr>
        <w:t xml:space="preserve">incorporating materials into the Contract </w:t>
      </w:r>
    </w:p>
    <w:p w14:paraId="23D80629" w14:textId="77777777" w:rsidR="00F80C77" w:rsidRPr="00766360" w:rsidRDefault="00F80C77" w:rsidP="00F80C77">
      <w:pPr>
        <w:rPr>
          <w:rFonts w:ascii="Trebuchet MS" w:hAnsi="Trebuchet MS"/>
          <w:sz w:val="24"/>
          <w:szCs w:val="24"/>
        </w:rPr>
      </w:pPr>
    </w:p>
    <w:p w14:paraId="31710C37" w14:textId="77777777" w:rsidR="00F80C77" w:rsidRDefault="00F80C77" w:rsidP="00F80C77">
      <w:r w:rsidRPr="00766360">
        <w:rPr>
          <w:rFonts w:ascii="Trebuchet MS" w:hAnsi="Trebuchet MS"/>
          <w:sz w:val="24"/>
          <w:szCs w:val="24"/>
        </w:rPr>
        <w:t xml:space="preserve">Failure to comply with the requirements of this subsection shall be grounds for withholding of progress payments.  </w:t>
      </w:r>
    </w:p>
    <w:p w14:paraId="5390FA1C" w14:textId="77777777" w:rsidR="00F80C77" w:rsidRDefault="00F80C77" w:rsidP="00F80C77">
      <w:pPr>
        <w:spacing w:after="0"/>
      </w:pPr>
    </w:p>
    <w:sectPr w:rsidR="00F80C77" w:rsidSect="006A74C8">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55521" w14:textId="77777777" w:rsidR="00F7484D" w:rsidRDefault="00F7484D" w:rsidP="00F80C77">
      <w:pPr>
        <w:spacing w:after="0" w:line="240" w:lineRule="auto"/>
      </w:pPr>
      <w:r>
        <w:separator/>
      </w:r>
    </w:p>
  </w:endnote>
  <w:endnote w:type="continuationSeparator" w:id="0">
    <w:p w14:paraId="57710B63" w14:textId="77777777" w:rsidR="00F7484D" w:rsidRDefault="00F7484D" w:rsidP="00F8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0E2A" w14:textId="77777777" w:rsidR="00F7484D" w:rsidRDefault="00F7484D" w:rsidP="00F80C77">
      <w:pPr>
        <w:spacing w:after="0" w:line="240" w:lineRule="auto"/>
      </w:pPr>
      <w:r>
        <w:separator/>
      </w:r>
    </w:p>
  </w:footnote>
  <w:footnote w:type="continuationSeparator" w:id="0">
    <w:p w14:paraId="3924AE18" w14:textId="77777777" w:rsidR="00F7484D" w:rsidRDefault="00F7484D" w:rsidP="00F8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876115"/>
      <w:docPartObj>
        <w:docPartGallery w:val="Page Numbers (Top of Page)"/>
        <w:docPartUnique/>
      </w:docPartObj>
    </w:sdtPr>
    <w:sdtEndPr>
      <w:rPr>
        <w:rFonts w:ascii="Trebuchet MS" w:hAnsi="Trebuchet MS"/>
        <w:noProof/>
        <w:sz w:val="28"/>
        <w:szCs w:val="28"/>
      </w:rPr>
    </w:sdtEndPr>
    <w:sdtContent>
      <w:p w14:paraId="634021E7" w14:textId="4FC338C5" w:rsidR="006A74C8" w:rsidRPr="00907A77" w:rsidRDefault="00907A77" w:rsidP="00907A77">
        <w:pPr>
          <w:pStyle w:val="Header"/>
          <w:jc w:val="right"/>
          <w:rPr>
            <w:rFonts w:ascii="Trebuchet MS" w:eastAsia="Times New Roman" w:hAnsi="Trebuchet MS" w:cs="Arial"/>
            <w:sz w:val="28"/>
            <w:szCs w:val="28"/>
          </w:rPr>
        </w:pPr>
        <w:r w:rsidRPr="00907A77">
          <w:rPr>
            <w:rFonts w:ascii="Trebuchet MS" w:hAnsi="Trebuchet MS"/>
            <w:sz w:val="28"/>
            <w:szCs w:val="28"/>
          </w:rPr>
          <w:t>Jan</w:t>
        </w:r>
        <w:r>
          <w:rPr>
            <w:rFonts w:ascii="Trebuchet MS" w:hAnsi="Trebuchet MS"/>
            <w:sz w:val="28"/>
            <w:szCs w:val="28"/>
          </w:rPr>
          <w:t>uary</w:t>
        </w:r>
        <w:r w:rsidRPr="00907A77">
          <w:rPr>
            <w:rFonts w:ascii="Trebuchet MS" w:hAnsi="Trebuchet MS"/>
            <w:sz w:val="28"/>
            <w:szCs w:val="28"/>
          </w:rPr>
          <w:t xml:space="preserve"> 8</w:t>
        </w:r>
        <w:r w:rsidR="006A74C8" w:rsidRPr="00907A77">
          <w:rPr>
            <w:rFonts w:ascii="Trebuchet MS" w:eastAsia="Times New Roman" w:hAnsi="Trebuchet MS" w:cs="Arial"/>
            <w:sz w:val="28"/>
            <w:szCs w:val="28"/>
          </w:rPr>
          <w:t>, 2024</w:t>
        </w:r>
      </w:p>
      <w:p w14:paraId="2E130A02" w14:textId="64D2DACB" w:rsidR="006A74C8" w:rsidRPr="006A74C8" w:rsidRDefault="006A74C8" w:rsidP="00907A77">
        <w:pPr>
          <w:pStyle w:val="Header"/>
          <w:jc w:val="center"/>
          <w:rPr>
            <w:rFonts w:ascii="Trebuchet MS" w:hAnsi="Trebuchet MS"/>
            <w:sz w:val="28"/>
            <w:szCs w:val="28"/>
          </w:rPr>
        </w:pPr>
        <w:r w:rsidRPr="006A74C8">
          <w:rPr>
            <w:rFonts w:ascii="Trebuchet MS" w:hAnsi="Trebuchet MS"/>
            <w:sz w:val="28"/>
            <w:szCs w:val="28"/>
          </w:rPr>
          <w:fldChar w:fldCharType="begin"/>
        </w:r>
        <w:r w:rsidRPr="006A74C8">
          <w:rPr>
            <w:rFonts w:ascii="Trebuchet MS" w:hAnsi="Trebuchet MS"/>
            <w:sz w:val="28"/>
            <w:szCs w:val="28"/>
          </w:rPr>
          <w:instrText xml:space="preserve"> PAGE   \* MERGEFORMAT </w:instrText>
        </w:r>
        <w:r w:rsidRPr="006A74C8">
          <w:rPr>
            <w:rFonts w:ascii="Trebuchet MS" w:hAnsi="Trebuchet MS"/>
            <w:sz w:val="28"/>
            <w:szCs w:val="28"/>
          </w:rPr>
          <w:fldChar w:fldCharType="separate"/>
        </w:r>
        <w:r w:rsidR="00907A77">
          <w:rPr>
            <w:rFonts w:ascii="Trebuchet MS" w:hAnsi="Trebuchet MS"/>
            <w:noProof/>
            <w:sz w:val="28"/>
            <w:szCs w:val="28"/>
          </w:rPr>
          <w:t>2</w:t>
        </w:r>
        <w:r w:rsidRPr="006A74C8">
          <w:rPr>
            <w:rFonts w:ascii="Trebuchet MS" w:hAnsi="Trebuchet MS"/>
            <w:noProof/>
            <w:sz w:val="28"/>
            <w:szCs w:val="28"/>
          </w:rPr>
          <w:fldChar w:fldCharType="end"/>
        </w:r>
      </w:p>
    </w:sdtContent>
  </w:sdt>
  <w:p w14:paraId="5A526515" w14:textId="77777777" w:rsidR="006A74C8" w:rsidRPr="007F3EAF" w:rsidRDefault="006A74C8" w:rsidP="00907A77">
    <w:pPr>
      <w:spacing w:after="0" w:line="240" w:lineRule="auto"/>
      <w:jc w:val="center"/>
      <w:rPr>
        <w:rFonts w:ascii="Trebuchet MS" w:hAnsi="Trebuchet MS" w:cs="Arial"/>
        <w:sz w:val="28"/>
        <w:szCs w:val="28"/>
      </w:rPr>
    </w:pPr>
    <w:r w:rsidRPr="007F3EAF">
      <w:rPr>
        <w:rFonts w:ascii="Trebuchet MS" w:hAnsi="Trebuchet MS" w:cs="Arial"/>
        <w:sz w:val="28"/>
        <w:szCs w:val="28"/>
      </w:rPr>
      <w:t xml:space="preserve">Revision Of Sections </w:t>
    </w:r>
  </w:p>
  <w:p w14:paraId="25FCBCC2" w14:textId="77777777" w:rsidR="006A74C8" w:rsidRPr="007F3EAF" w:rsidRDefault="006A74C8" w:rsidP="00907A77">
    <w:pPr>
      <w:spacing w:after="0" w:line="240" w:lineRule="auto"/>
      <w:jc w:val="center"/>
      <w:rPr>
        <w:rFonts w:ascii="Trebuchet MS" w:hAnsi="Trebuchet MS" w:cs="Arial"/>
        <w:sz w:val="28"/>
        <w:szCs w:val="28"/>
      </w:rPr>
    </w:pPr>
    <w:r w:rsidRPr="007F3EAF">
      <w:rPr>
        <w:rFonts w:ascii="Trebuchet MS" w:hAnsi="Trebuchet MS" w:cs="Arial"/>
        <w:sz w:val="28"/>
        <w:szCs w:val="28"/>
      </w:rPr>
      <w:t>101 - Definitions</w:t>
    </w:r>
  </w:p>
  <w:p w14:paraId="6BE2280E" w14:textId="77777777" w:rsidR="006A74C8" w:rsidRPr="007F3EAF" w:rsidRDefault="006A74C8" w:rsidP="00907A77">
    <w:pPr>
      <w:pStyle w:val="Header"/>
      <w:jc w:val="center"/>
      <w:rPr>
        <w:rFonts w:ascii="Trebuchet MS" w:hAnsi="Trebuchet MS"/>
        <w:sz w:val="28"/>
        <w:szCs w:val="28"/>
      </w:rPr>
    </w:pPr>
    <w:r w:rsidRPr="007F3EAF">
      <w:rPr>
        <w:rFonts w:ascii="Trebuchet MS" w:hAnsi="Trebuchet MS"/>
        <w:sz w:val="28"/>
        <w:szCs w:val="28"/>
      </w:rPr>
      <w:t>106 - Control of Materials</w:t>
    </w:r>
  </w:p>
  <w:p w14:paraId="0A7D7804" w14:textId="36030CE9" w:rsidR="00DB39FE" w:rsidRPr="007F3EAF" w:rsidRDefault="00DB39FE" w:rsidP="00907A77">
    <w:pPr>
      <w:pStyle w:val="Header"/>
      <w:jc w:val="center"/>
      <w:rPr>
        <w:rFonts w:ascii="Trebuchet MS" w:hAnsi="Trebuchet M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5BA9" w14:textId="77777777" w:rsidR="006A74C8" w:rsidRDefault="006A74C8" w:rsidP="006A74C8">
    <w:pPr>
      <w:widowControl w:val="0"/>
      <w:autoSpaceDE w:val="0"/>
      <w:autoSpaceDN w:val="0"/>
      <w:spacing w:after="0" w:line="240" w:lineRule="exact"/>
      <w:jc w:val="right"/>
      <w:rPr>
        <w:rFonts w:ascii="Trebuchet MS" w:eastAsia="Times New Roman" w:hAnsi="Trebuchet MS" w:cs="Arial"/>
        <w:sz w:val="28"/>
        <w:szCs w:val="28"/>
      </w:rPr>
    </w:pPr>
  </w:p>
  <w:p w14:paraId="1D16C9FC" w14:textId="77777777" w:rsidR="006A74C8" w:rsidRDefault="006A74C8" w:rsidP="006A74C8">
    <w:pPr>
      <w:widowControl w:val="0"/>
      <w:autoSpaceDE w:val="0"/>
      <w:autoSpaceDN w:val="0"/>
      <w:spacing w:after="0" w:line="240" w:lineRule="exact"/>
      <w:jc w:val="right"/>
      <w:rPr>
        <w:rFonts w:ascii="Trebuchet MS" w:eastAsia="Times New Roman" w:hAnsi="Trebuchet MS" w:cs="Arial"/>
        <w:sz w:val="28"/>
        <w:szCs w:val="28"/>
      </w:rPr>
    </w:pPr>
  </w:p>
  <w:p w14:paraId="55D4DBDE" w14:textId="77777777" w:rsidR="006A74C8" w:rsidRDefault="006A74C8" w:rsidP="006A74C8">
    <w:pPr>
      <w:widowControl w:val="0"/>
      <w:autoSpaceDE w:val="0"/>
      <w:autoSpaceDN w:val="0"/>
      <w:spacing w:after="0" w:line="240" w:lineRule="exact"/>
      <w:jc w:val="right"/>
      <w:rPr>
        <w:rFonts w:ascii="Trebuchet MS" w:eastAsia="Times New Roman" w:hAnsi="Trebuchet MS" w:cs="Arial"/>
        <w:sz w:val="28"/>
        <w:szCs w:val="28"/>
      </w:rPr>
    </w:pPr>
  </w:p>
  <w:p w14:paraId="5260C46A" w14:textId="3AB4FE62" w:rsidR="006A74C8" w:rsidRPr="007F3EAF" w:rsidRDefault="00907A77" w:rsidP="00907A77">
    <w:pPr>
      <w:widowControl w:val="0"/>
      <w:autoSpaceDE w:val="0"/>
      <w:autoSpaceDN w:val="0"/>
      <w:spacing w:after="0" w:line="240" w:lineRule="auto"/>
      <w:jc w:val="right"/>
      <w:rPr>
        <w:rFonts w:ascii="Trebuchet MS" w:eastAsia="Times New Roman" w:hAnsi="Trebuchet MS" w:cs="Arial"/>
        <w:sz w:val="28"/>
        <w:szCs w:val="28"/>
      </w:rPr>
    </w:pPr>
    <w:r>
      <w:rPr>
        <w:rFonts w:ascii="Trebuchet MS" w:eastAsia="Times New Roman" w:hAnsi="Trebuchet MS" w:cs="Arial"/>
        <w:sz w:val="28"/>
        <w:szCs w:val="28"/>
      </w:rPr>
      <w:t>January 8</w:t>
    </w:r>
    <w:r w:rsidR="006A74C8" w:rsidRPr="007F3EAF">
      <w:rPr>
        <w:rFonts w:ascii="Trebuchet MS" w:eastAsia="Times New Roman" w:hAnsi="Trebuchet MS" w:cs="Arial"/>
        <w:sz w:val="28"/>
        <w:szCs w:val="28"/>
      </w:rPr>
      <w:t>, 2024</w:t>
    </w:r>
  </w:p>
  <w:p w14:paraId="655C0852" w14:textId="77777777" w:rsidR="006A74C8" w:rsidRPr="007F3EAF" w:rsidRDefault="006A74C8" w:rsidP="00907A77">
    <w:pPr>
      <w:spacing w:after="0" w:line="240" w:lineRule="auto"/>
      <w:jc w:val="center"/>
      <w:rPr>
        <w:rFonts w:ascii="Trebuchet MS" w:hAnsi="Trebuchet MS" w:cs="Arial"/>
        <w:sz w:val="28"/>
        <w:szCs w:val="28"/>
      </w:rPr>
    </w:pPr>
    <w:r w:rsidRPr="007F3EAF">
      <w:rPr>
        <w:rFonts w:ascii="Trebuchet MS" w:hAnsi="Trebuchet MS" w:cs="Arial"/>
        <w:sz w:val="28"/>
        <w:szCs w:val="28"/>
      </w:rPr>
      <w:t xml:space="preserve">Revision Of Sections </w:t>
    </w:r>
  </w:p>
  <w:p w14:paraId="16B82E9F" w14:textId="77777777" w:rsidR="006A74C8" w:rsidRPr="007F3EAF" w:rsidRDefault="006A74C8" w:rsidP="00907A77">
    <w:pPr>
      <w:spacing w:after="0" w:line="240" w:lineRule="auto"/>
      <w:jc w:val="center"/>
      <w:rPr>
        <w:rFonts w:ascii="Trebuchet MS" w:hAnsi="Trebuchet MS" w:cs="Arial"/>
        <w:sz w:val="28"/>
        <w:szCs w:val="28"/>
      </w:rPr>
    </w:pPr>
    <w:r w:rsidRPr="007F3EAF">
      <w:rPr>
        <w:rFonts w:ascii="Trebuchet MS" w:hAnsi="Trebuchet MS" w:cs="Arial"/>
        <w:sz w:val="28"/>
        <w:szCs w:val="28"/>
      </w:rPr>
      <w:t>101 - Definitions</w:t>
    </w:r>
  </w:p>
  <w:p w14:paraId="32E154C4" w14:textId="77777777" w:rsidR="006A74C8" w:rsidRPr="007F3EAF" w:rsidRDefault="006A74C8" w:rsidP="00907A77">
    <w:pPr>
      <w:pStyle w:val="Header"/>
      <w:jc w:val="center"/>
      <w:rPr>
        <w:rFonts w:ascii="Trebuchet MS" w:hAnsi="Trebuchet MS"/>
        <w:sz w:val="28"/>
        <w:szCs w:val="28"/>
      </w:rPr>
    </w:pPr>
    <w:r w:rsidRPr="007F3EAF">
      <w:rPr>
        <w:rFonts w:ascii="Trebuchet MS" w:hAnsi="Trebuchet MS"/>
        <w:sz w:val="28"/>
        <w:szCs w:val="28"/>
      </w:rPr>
      <w:t>106 - Control of Materials</w:t>
    </w:r>
  </w:p>
  <w:p w14:paraId="02A5BA75" w14:textId="77777777" w:rsidR="007F3EAF" w:rsidRDefault="007F3EAF" w:rsidP="00907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7358"/>
    <w:multiLevelType w:val="hybridMultilevel"/>
    <w:tmpl w:val="F3023F8C"/>
    <w:lvl w:ilvl="0" w:tplc="0A166FF6">
      <w:start w:val="1"/>
      <w:numFmt w:val="upperLetter"/>
      <w:lvlText w:val="%1."/>
      <w:lvlJc w:val="left"/>
      <w:pPr>
        <w:ind w:left="1653" w:hanging="360"/>
      </w:pPr>
      <w:rPr>
        <w:rFonts w:ascii="Trebuchet MS" w:hAnsi="Trebuchet MS" w:cs="Times New Roman" w:hint="default"/>
        <w:b w:val="0"/>
        <w:i w:val="0"/>
        <w:strike w:val="0"/>
        <w:dstrike w:val="0"/>
        <w:color w:val="000000"/>
        <w:sz w:val="22"/>
        <w:szCs w:val="22"/>
        <w:u w:val="none" w:color="000000"/>
        <w:vertAlign w:val="baseline"/>
      </w:rPr>
    </w:lvl>
    <w:lvl w:ilvl="1" w:tplc="04090019">
      <w:start w:val="1"/>
      <w:numFmt w:val="lowerLetter"/>
      <w:lvlText w:val="%2."/>
      <w:lvlJc w:val="left"/>
      <w:pPr>
        <w:ind w:left="2340"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1" w15:restartNumberingAfterBreak="0">
    <w:nsid w:val="14AD6692"/>
    <w:multiLevelType w:val="multilevel"/>
    <w:tmpl w:val="ABDCAE50"/>
    <w:lvl w:ilvl="0">
      <w:start w:val="1"/>
      <w:numFmt w:val="lowerLetter"/>
      <w:lvlText w:val="(%1)"/>
      <w:lvlJc w:val="left"/>
      <w:pPr>
        <w:ind w:left="1440" w:hanging="360"/>
      </w:pPr>
      <w:rPr>
        <w:i/>
        <w:iCs/>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7C25B88"/>
    <w:multiLevelType w:val="multilevel"/>
    <w:tmpl w:val="5CE2B748"/>
    <w:lvl w:ilvl="0">
      <w:start w:val="1"/>
      <w:numFmt w:val="decimal"/>
      <w:pStyle w:val="Heading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2656035"/>
    <w:multiLevelType w:val="multilevel"/>
    <w:tmpl w:val="CF0237CA"/>
    <w:lvl w:ilvl="0">
      <w:start w:val="1"/>
      <w:numFmt w:val="decimal"/>
      <w:isLgl/>
      <w:suff w:val="nothing"/>
      <w:lvlText w:val="101-%1"/>
      <w:lvlJc w:val="center"/>
      <w:pPr>
        <w:ind w:left="5202" w:firstLine="288"/>
      </w:pPr>
      <w:rPr>
        <w:rFonts w:ascii="Trebuchet MS" w:hAnsi="Trebuchet MS" w:cs="Arial" w:hint="default"/>
        <w:sz w:val="24"/>
        <w:szCs w:val="24"/>
      </w:rPr>
    </w:lvl>
    <w:lvl w:ilvl="1">
      <w:start w:val="1"/>
      <w:numFmt w:val="decimalZero"/>
      <w:isLgl/>
      <w:lvlText w:val="Section %1.%2"/>
      <w:lvlJc w:val="left"/>
      <w:pPr>
        <w:tabs>
          <w:tab w:val="num" w:pos="1962"/>
        </w:tabs>
        <w:ind w:left="0" w:firstLine="0"/>
      </w:pPr>
      <w:rPr>
        <w:rFonts w:hint="default"/>
      </w:rPr>
    </w:lvl>
    <w:lvl w:ilvl="2">
      <w:start w:val="1"/>
      <w:numFmt w:val="decimal"/>
      <w:suff w:val="nothing"/>
      <w:lvlText w:val="(%3)"/>
      <w:lvlJc w:val="center"/>
      <w:pPr>
        <w:ind w:left="972" w:hanging="432"/>
      </w:pPr>
      <w:rPr>
        <w:rFonts w:hint="default"/>
      </w:rPr>
    </w:lvl>
    <w:lvl w:ilvl="3">
      <w:start w:val="1"/>
      <w:numFmt w:val="lowerRoman"/>
      <w:lvlText w:val="(%4)"/>
      <w:lvlJc w:val="right"/>
      <w:pPr>
        <w:tabs>
          <w:tab w:val="num" w:pos="1206"/>
        </w:tabs>
        <w:ind w:left="1206" w:hanging="144"/>
      </w:pPr>
      <w:rPr>
        <w:rFonts w:hint="default"/>
      </w:rPr>
    </w:lvl>
    <w:lvl w:ilvl="4">
      <w:start w:val="1"/>
      <w:numFmt w:val="decimal"/>
      <w:lvlText w:val="%5)"/>
      <w:lvlJc w:val="left"/>
      <w:pPr>
        <w:tabs>
          <w:tab w:val="num" w:pos="1350"/>
        </w:tabs>
        <w:ind w:left="1350" w:hanging="432"/>
      </w:pPr>
      <w:rPr>
        <w:rFonts w:hint="default"/>
      </w:rPr>
    </w:lvl>
    <w:lvl w:ilvl="5">
      <w:start w:val="1"/>
      <w:numFmt w:val="lowerLetter"/>
      <w:lvlText w:val="%6)"/>
      <w:lvlJc w:val="left"/>
      <w:pPr>
        <w:tabs>
          <w:tab w:val="num" w:pos="1494"/>
        </w:tabs>
        <w:ind w:left="1494" w:hanging="432"/>
      </w:pPr>
      <w:rPr>
        <w:rFonts w:hint="default"/>
      </w:rPr>
    </w:lvl>
    <w:lvl w:ilvl="6">
      <w:start w:val="1"/>
      <w:numFmt w:val="lowerRoman"/>
      <w:lvlText w:val="%7)"/>
      <w:lvlJc w:val="right"/>
      <w:pPr>
        <w:tabs>
          <w:tab w:val="num" w:pos="1638"/>
        </w:tabs>
        <w:ind w:left="1638" w:hanging="288"/>
      </w:pPr>
      <w:rPr>
        <w:rFonts w:hint="default"/>
      </w:rPr>
    </w:lvl>
    <w:lvl w:ilvl="7">
      <w:start w:val="1"/>
      <w:numFmt w:val="lowerLetter"/>
      <w:lvlText w:val="%8."/>
      <w:lvlJc w:val="left"/>
      <w:pPr>
        <w:tabs>
          <w:tab w:val="num" w:pos="1782"/>
        </w:tabs>
        <w:ind w:left="1782" w:hanging="432"/>
      </w:pPr>
      <w:rPr>
        <w:rFonts w:hint="default"/>
      </w:rPr>
    </w:lvl>
    <w:lvl w:ilvl="8">
      <w:start w:val="1"/>
      <w:numFmt w:val="decimal"/>
      <w:suff w:val="space"/>
      <w:lvlText w:val="%9."/>
      <w:lvlJc w:val="center"/>
      <w:pPr>
        <w:ind w:left="1926" w:hanging="144"/>
      </w:pPr>
      <w:rPr>
        <w:rFonts w:hint="default"/>
      </w:rPr>
    </w:lvl>
  </w:abstractNum>
  <w:abstractNum w:abstractNumId="4" w15:restartNumberingAfterBreak="0">
    <w:nsid w:val="794525F0"/>
    <w:multiLevelType w:val="multilevel"/>
    <w:tmpl w:val="695A417E"/>
    <w:lvl w:ilvl="0">
      <w:start w:val="1"/>
      <w:numFmt w:val="lowerLetter"/>
      <w:lvlText w:val="(%1)"/>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77"/>
    <w:rsid w:val="00172897"/>
    <w:rsid w:val="004D5F12"/>
    <w:rsid w:val="006A74C8"/>
    <w:rsid w:val="007F3EAF"/>
    <w:rsid w:val="008517CE"/>
    <w:rsid w:val="00907A77"/>
    <w:rsid w:val="009D6AD7"/>
    <w:rsid w:val="009F7329"/>
    <w:rsid w:val="00A15E01"/>
    <w:rsid w:val="00A6050A"/>
    <w:rsid w:val="00B26BFF"/>
    <w:rsid w:val="00C03786"/>
    <w:rsid w:val="00DB39FE"/>
    <w:rsid w:val="00E846A5"/>
    <w:rsid w:val="00EA096E"/>
    <w:rsid w:val="00EF1689"/>
    <w:rsid w:val="00F7484D"/>
    <w:rsid w:val="00F8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B6DC"/>
  <w15:chartTrackingRefBased/>
  <w15:docId w15:val="{D0188367-32E4-491B-8BDF-565DDB5D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4C8"/>
    <w:rPr>
      <w:rFonts w:eastAsiaTheme="minorHAnsi"/>
      <w:kern w:val="0"/>
      <w14:ligatures w14:val="none"/>
    </w:rPr>
  </w:style>
  <w:style w:type="paragraph" w:styleId="Heading1">
    <w:name w:val="heading 1"/>
    <w:basedOn w:val="Normal"/>
    <w:next w:val="Normal"/>
    <w:link w:val="Heading1Char"/>
    <w:uiPriority w:val="9"/>
    <w:unhideWhenUsed/>
    <w:qFormat/>
    <w:rsid w:val="00EA096E"/>
    <w:pPr>
      <w:jc w:val="center"/>
      <w:outlineLvl w:val="0"/>
    </w:pPr>
    <w:rPr>
      <w:b/>
      <w:sz w:val="28"/>
      <w:szCs w:val="28"/>
    </w:rPr>
  </w:style>
  <w:style w:type="paragraph" w:styleId="Heading2">
    <w:name w:val="heading 2"/>
    <w:next w:val="Normal"/>
    <w:link w:val="Heading2Char"/>
    <w:uiPriority w:val="9"/>
    <w:unhideWhenUsed/>
    <w:qFormat/>
    <w:rsid w:val="00EA096E"/>
    <w:pPr>
      <w:keepNext/>
      <w:keepLines/>
      <w:spacing w:after="226"/>
      <w:ind w:left="269" w:hanging="5"/>
      <w:jc w:val="center"/>
      <w:outlineLvl w:val="1"/>
    </w:pPr>
    <w:rPr>
      <w:rFonts w:ascii="Trebuchet MS" w:hAnsi="Trebuchet MS" w:cs="Times New Roman"/>
      <w:b/>
      <w:color w:val="000000"/>
      <w:sz w:val="28"/>
      <w:szCs w:val="28"/>
    </w:rPr>
  </w:style>
  <w:style w:type="paragraph" w:styleId="Heading3">
    <w:name w:val="heading 3"/>
    <w:basedOn w:val="Normal"/>
    <w:next w:val="Normal"/>
    <w:link w:val="Heading3Char"/>
    <w:uiPriority w:val="9"/>
    <w:unhideWhenUsed/>
    <w:qFormat/>
    <w:rsid w:val="00EA096E"/>
    <w:pPr>
      <w:keepNext/>
      <w:keepLines/>
      <w:spacing w:before="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8517CE"/>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8517CE"/>
    <w:pPr>
      <w:keepNext/>
      <w:keepLines/>
      <w:spacing w:before="40" w:after="0"/>
      <w:jc w:val="both"/>
      <w:outlineLvl w:val="4"/>
    </w:pPr>
    <w:rPr>
      <w:rFonts w:eastAsiaTheme="majorEastAsia" w:cstheme="majorBidi"/>
    </w:rPr>
  </w:style>
  <w:style w:type="paragraph" w:styleId="Heading6">
    <w:name w:val="heading 6"/>
    <w:basedOn w:val="ListParagraph"/>
    <w:next w:val="Normal"/>
    <w:link w:val="Heading6Char"/>
    <w:uiPriority w:val="9"/>
    <w:unhideWhenUsed/>
    <w:qFormat/>
    <w:rsid w:val="00EA096E"/>
    <w:pPr>
      <w:numPr>
        <w:numId w:val="3"/>
      </w:numPr>
      <w:spacing w:after="0"/>
      <w:ind w:left="1080"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096E"/>
    <w:rPr>
      <w:rFonts w:ascii="Trebuchet MS" w:eastAsiaTheme="minorHAnsi" w:hAnsi="Trebuchet MS" w:cs="Times New Roman"/>
      <w:b/>
      <w:kern w:val="0"/>
      <w:sz w:val="28"/>
      <w:szCs w:val="28"/>
      <w14:ligatures w14:val="none"/>
    </w:rPr>
  </w:style>
  <w:style w:type="character" w:customStyle="1" w:styleId="Heading2Char">
    <w:name w:val="Heading 2 Char"/>
    <w:link w:val="Heading2"/>
    <w:uiPriority w:val="9"/>
    <w:rsid w:val="00EA096E"/>
    <w:rPr>
      <w:rFonts w:ascii="Trebuchet MS" w:eastAsia="Calibri" w:hAnsi="Trebuchet MS" w:cs="Times New Roman"/>
      <w:b/>
      <w:color w:val="000000"/>
      <w:sz w:val="28"/>
      <w:szCs w:val="28"/>
    </w:rPr>
  </w:style>
  <w:style w:type="paragraph" w:styleId="Subtitle">
    <w:name w:val="Subtitle"/>
    <w:aliases w:val="Header 2a"/>
    <w:basedOn w:val="Normal"/>
    <w:next w:val="Normal"/>
    <w:link w:val="SubtitleChar"/>
    <w:qFormat/>
    <w:rsid w:val="00EA096E"/>
    <w:pPr>
      <w:widowControl w:val="0"/>
      <w:numPr>
        <w:ilvl w:val="1"/>
      </w:numPr>
      <w:autoSpaceDE w:val="0"/>
      <w:autoSpaceDN w:val="0"/>
      <w:adjustRightInd w:val="0"/>
      <w:spacing w:line="360" w:lineRule="auto"/>
      <w:ind w:left="264" w:firstLine="4"/>
      <w:jc w:val="center"/>
    </w:pPr>
    <w:rPr>
      <w:rFonts w:eastAsiaTheme="minorEastAsia"/>
      <w:b/>
      <w:spacing w:val="15"/>
      <w:sz w:val="28"/>
    </w:rPr>
  </w:style>
  <w:style w:type="character" w:customStyle="1" w:styleId="SubtitleChar">
    <w:name w:val="Subtitle Char"/>
    <w:aliases w:val="Header 2a Char"/>
    <w:basedOn w:val="DefaultParagraphFont"/>
    <w:link w:val="Subtitle"/>
    <w:rsid w:val="00EA096E"/>
    <w:rPr>
      <w:rFonts w:ascii="Trebuchet MS" w:eastAsiaTheme="minorEastAsia" w:hAnsi="Trebuchet MS" w:cs="Times New Roman"/>
      <w:b/>
      <w:color w:val="000000"/>
      <w:spacing w:val="15"/>
      <w:kern w:val="0"/>
      <w:sz w:val="28"/>
      <w14:ligatures w14:val="none"/>
    </w:rPr>
  </w:style>
  <w:style w:type="character" w:customStyle="1" w:styleId="Heading5Char">
    <w:name w:val="Heading 5 Char"/>
    <w:basedOn w:val="DefaultParagraphFont"/>
    <w:link w:val="Heading5"/>
    <w:uiPriority w:val="9"/>
    <w:rsid w:val="008517CE"/>
    <w:rPr>
      <w:rFonts w:ascii="Trebuchet MS" w:eastAsiaTheme="majorEastAsia" w:hAnsi="Trebuchet MS" w:cstheme="majorBidi"/>
      <w:sz w:val="24"/>
    </w:rPr>
  </w:style>
  <w:style w:type="character" w:customStyle="1" w:styleId="Heading3Char">
    <w:name w:val="Heading 3 Char"/>
    <w:basedOn w:val="DefaultParagraphFont"/>
    <w:link w:val="Heading3"/>
    <w:uiPriority w:val="9"/>
    <w:rsid w:val="00EA096E"/>
    <w:rPr>
      <w:rFonts w:ascii="Trebuchet MS" w:eastAsiaTheme="majorEastAsia" w:hAnsi="Trebuchet MS" w:cstheme="majorBidi"/>
      <w:b/>
      <w:kern w:val="0"/>
      <w:sz w:val="24"/>
      <w:szCs w:val="24"/>
      <w14:ligatures w14:val="none"/>
    </w:rPr>
  </w:style>
  <w:style w:type="character" w:customStyle="1" w:styleId="Heading4Char">
    <w:name w:val="Heading 4 Char"/>
    <w:basedOn w:val="DefaultParagraphFont"/>
    <w:link w:val="Heading4"/>
    <w:uiPriority w:val="9"/>
    <w:rsid w:val="008517CE"/>
    <w:rPr>
      <w:rFonts w:ascii="Trebuchet MS" w:eastAsiaTheme="majorEastAsia" w:hAnsi="Trebuchet MS" w:cstheme="majorBidi"/>
      <w:iCs/>
      <w:sz w:val="24"/>
    </w:rPr>
  </w:style>
  <w:style w:type="character" w:customStyle="1" w:styleId="Heading6Char">
    <w:name w:val="Heading 6 Char"/>
    <w:basedOn w:val="DefaultParagraphFont"/>
    <w:link w:val="Heading6"/>
    <w:uiPriority w:val="9"/>
    <w:rsid w:val="00EA096E"/>
    <w:rPr>
      <w:rFonts w:ascii="Trebuchet MS" w:eastAsia="Calibri" w:hAnsi="Trebuchet MS" w:cs="Times New Roman"/>
      <w:kern w:val="0"/>
      <w:sz w:val="24"/>
      <w:szCs w:val="24"/>
      <w14:ligatures w14:val="none"/>
    </w:rPr>
  </w:style>
  <w:style w:type="paragraph" w:styleId="ListParagraph">
    <w:name w:val="List Paragraph"/>
    <w:basedOn w:val="Normal"/>
    <w:uiPriority w:val="34"/>
    <w:qFormat/>
    <w:rsid w:val="00EA096E"/>
    <w:pPr>
      <w:ind w:left="720"/>
      <w:contextualSpacing/>
    </w:pPr>
  </w:style>
  <w:style w:type="paragraph" w:styleId="Header">
    <w:name w:val="header"/>
    <w:basedOn w:val="Normal"/>
    <w:link w:val="HeaderChar"/>
    <w:uiPriority w:val="99"/>
    <w:unhideWhenUsed/>
    <w:rsid w:val="00F8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C77"/>
    <w:rPr>
      <w:rFonts w:eastAsiaTheme="minorHAnsi"/>
      <w:kern w:val="0"/>
      <w14:ligatures w14:val="none"/>
    </w:rPr>
  </w:style>
  <w:style w:type="paragraph" w:styleId="NormalWeb">
    <w:name w:val="Normal (Web)"/>
    <w:basedOn w:val="Normal"/>
    <w:uiPriority w:val="99"/>
    <w:semiHidden/>
    <w:unhideWhenUsed/>
    <w:rsid w:val="00F80C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C77"/>
    <w:rPr>
      <w:i/>
      <w:iCs/>
    </w:rPr>
  </w:style>
  <w:style w:type="paragraph" w:styleId="Footer">
    <w:name w:val="footer"/>
    <w:basedOn w:val="Normal"/>
    <w:link w:val="FooterChar"/>
    <w:uiPriority w:val="99"/>
    <w:unhideWhenUsed/>
    <w:rsid w:val="00F80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77"/>
    <w:rPr>
      <w:rFonts w:eastAsiaTheme="minorHAnsi"/>
      <w:kern w:val="0"/>
      <w14:ligatures w14:val="none"/>
    </w:rPr>
  </w:style>
  <w:style w:type="paragraph" w:customStyle="1" w:styleId="SubsectionHead">
    <w:name w:val="Subsection Head"/>
    <w:basedOn w:val="BodyText"/>
    <w:qFormat/>
    <w:rsid w:val="00F80C77"/>
    <w:pPr>
      <w:widowControl w:val="0"/>
      <w:autoSpaceDE w:val="0"/>
      <w:autoSpaceDN w:val="0"/>
      <w:spacing w:after="200" w:line="247" w:lineRule="auto"/>
    </w:pPr>
    <w:rPr>
      <w:rFonts w:ascii="Times New Roman" w:eastAsia="Times New Roman" w:hAnsi="Times New Roman" w:cs="Courier"/>
      <w:b/>
      <w:kern w:val="2"/>
      <w:sz w:val="20"/>
    </w:rPr>
  </w:style>
  <w:style w:type="paragraph" w:styleId="BodyText">
    <w:name w:val="Body Text"/>
    <w:basedOn w:val="Normal"/>
    <w:link w:val="BodyTextChar"/>
    <w:uiPriority w:val="99"/>
    <w:semiHidden/>
    <w:unhideWhenUsed/>
    <w:rsid w:val="00F80C77"/>
    <w:pPr>
      <w:spacing w:after="120"/>
    </w:pPr>
  </w:style>
  <w:style w:type="character" w:customStyle="1" w:styleId="BodyTextChar">
    <w:name w:val="Body Text Char"/>
    <w:basedOn w:val="DefaultParagraphFont"/>
    <w:link w:val="BodyText"/>
    <w:uiPriority w:val="99"/>
    <w:semiHidden/>
    <w:rsid w:val="00F80C77"/>
    <w:rPr>
      <w:rFonts w:eastAsia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Kayen, Michele</dc:creator>
  <cp:keywords/>
  <dc:description/>
  <cp:lastModifiedBy>Avgeris, Louis</cp:lastModifiedBy>
  <cp:revision>6</cp:revision>
  <dcterms:created xsi:type="dcterms:W3CDTF">2023-12-29T23:58:00Z</dcterms:created>
  <dcterms:modified xsi:type="dcterms:W3CDTF">2024-01-05T19:33:00Z</dcterms:modified>
</cp:coreProperties>
</file>