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63B8" w14:textId="6F5A1ED0" w:rsidR="001A139E" w:rsidRPr="00FE0571" w:rsidRDefault="006A21B5" w:rsidP="0065543C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FA446CE" w14:textId="77777777" w:rsidR="00116C83" w:rsidRDefault="00E1359D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</w:p>
    <w:p w14:paraId="6026CCAD" w14:textId="19E2DF7C" w:rsidR="000A14EB" w:rsidRPr="00FE0571" w:rsidRDefault="001F4651" w:rsidP="0065543C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5964FA59" w:rsidR="00AD69E9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D2D43">
        <w:rPr>
          <w:rFonts w:ascii="Trebuchet MS" w:hAnsi="Trebuchet MS"/>
          <w:sz w:val="24"/>
          <w:szCs w:val="24"/>
        </w:rPr>
        <w:t>June 11</w:t>
      </w:r>
      <w:r w:rsidR="005C678E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F311B2E" w14:textId="57D9C37C" w:rsidR="00ED2D43" w:rsidRDefault="00AD69E9" w:rsidP="00ED2D43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2"/>
          <w:szCs w:val="22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ED2D43" w:rsidRPr="00742C16">
        <w:rPr>
          <w:rFonts w:ascii="Trebuchet MS" w:hAnsi="Trebuchet MS"/>
          <w:sz w:val="22"/>
          <w:szCs w:val="22"/>
        </w:rPr>
        <w:t xml:space="preserve">Revision of Section 106 </w:t>
      </w:r>
      <w:r w:rsidR="00ED2D43">
        <w:rPr>
          <w:rFonts w:ascii="Trebuchet MS" w:hAnsi="Trebuchet MS"/>
          <w:sz w:val="22"/>
          <w:szCs w:val="22"/>
        </w:rPr>
        <w:t>–</w:t>
      </w:r>
      <w:r w:rsidR="00ED2D43" w:rsidRPr="00742C16">
        <w:rPr>
          <w:rFonts w:ascii="Trebuchet MS" w:hAnsi="Trebuchet MS"/>
          <w:sz w:val="22"/>
          <w:szCs w:val="22"/>
        </w:rPr>
        <w:t xml:space="preserve"> </w:t>
      </w:r>
    </w:p>
    <w:p w14:paraId="0402DFEC" w14:textId="29BB3D73" w:rsidR="007A7B3A" w:rsidRDefault="00ED2D43" w:rsidP="00ED2D43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1080"/>
        <w:outlineLvl w:val="0"/>
        <w:rPr>
          <w:rFonts w:ascii="Trebuchet MS" w:hAnsi="Trebuchet MS"/>
          <w:sz w:val="24"/>
          <w:szCs w:val="24"/>
        </w:rPr>
      </w:pPr>
      <w:r w:rsidRPr="00742C16">
        <w:rPr>
          <w:rFonts w:ascii="Trebuchet MS" w:hAnsi="Trebuchet MS"/>
          <w:sz w:val="22"/>
          <w:szCs w:val="22"/>
        </w:rPr>
        <w:t>Environmental Product Declarations</w:t>
      </w:r>
    </w:p>
    <w:p w14:paraId="0C9EE967" w14:textId="77777777" w:rsidR="002C301A" w:rsidRPr="00FE0571" w:rsidRDefault="002C301A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582D58C4" w:rsidR="00A16983" w:rsidRDefault="004E673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ED2D43" w:rsidRPr="00742C16">
        <w:rPr>
          <w:rFonts w:ascii="Trebuchet MS" w:hAnsi="Trebuchet MS"/>
          <w:sz w:val="22"/>
          <w:szCs w:val="22"/>
        </w:rPr>
        <w:t>Revision of Section 106 - Environmental Product Declarations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ED2D43">
        <w:rPr>
          <w:rFonts w:ascii="Trebuchet MS" w:hAnsi="Trebuchet MS"/>
          <w:sz w:val="24"/>
          <w:szCs w:val="24"/>
        </w:rPr>
        <w:t>1</w:t>
      </w:r>
      <w:r w:rsidR="00D215D1">
        <w:rPr>
          <w:rFonts w:ascii="Trebuchet MS" w:hAnsi="Trebuchet MS"/>
          <w:sz w:val="24"/>
          <w:szCs w:val="24"/>
        </w:rPr>
        <w:t>1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ED2D43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725AB7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Default="00284E98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986CFF" w14:textId="3D569849" w:rsidR="00452A6B" w:rsidRPr="00ED2D43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This provision enforces </w:t>
      </w:r>
      <w:r w:rsidRPr="00ED2D43">
        <w:rPr>
          <w:rFonts w:ascii="Trebuchet MS" w:hAnsi="Trebuchet MS"/>
          <w:sz w:val="24"/>
          <w:szCs w:val="24"/>
        </w:rPr>
        <w:t>Global Warming Potential (GWP) limits for eligible materials. The current spec only requires EPDs to be submitted for eligible materials, but for projects advertised on or after 7/1/25, eligible materials cannot be placed on projects if they do not meet the limits.</w:t>
      </w:r>
    </w:p>
    <w:p w14:paraId="709E67A3" w14:textId="77777777" w:rsidR="00ED2D43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772ED414" w:rsidR="005C4035" w:rsidRDefault="008F77E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</w:t>
      </w:r>
      <w:r w:rsidR="005C4035" w:rsidRPr="005C4035">
        <w:rPr>
          <w:rFonts w:ascii="Trebuchet MS" w:hAnsi="Trebuchet MS"/>
          <w:sz w:val="24"/>
          <w:szCs w:val="24"/>
        </w:rPr>
        <w:t>se th</w:t>
      </w:r>
      <w:r w:rsidR="00D575C0">
        <w:rPr>
          <w:rFonts w:ascii="Trebuchet MS" w:hAnsi="Trebuchet MS"/>
          <w:sz w:val="24"/>
          <w:szCs w:val="24"/>
        </w:rPr>
        <w:t>is</w:t>
      </w:r>
      <w:r w:rsidR="005C4035" w:rsidRPr="005C4035">
        <w:rPr>
          <w:rFonts w:ascii="Trebuchet MS" w:hAnsi="Trebuchet MS"/>
          <w:sz w:val="24"/>
          <w:szCs w:val="24"/>
        </w:rPr>
        <w:t xml:space="preserve"> on all</w:t>
      </w:r>
      <w:r w:rsidR="00ED2D43" w:rsidRPr="00ED2D43">
        <w:rPr>
          <w:rFonts w:ascii="Trebuchet MS" w:hAnsi="Trebuchet MS"/>
          <w:iCs/>
          <w:sz w:val="22"/>
          <w:szCs w:val="22"/>
        </w:rPr>
        <w:t xml:space="preserve"> </w:t>
      </w:r>
      <w:r w:rsidR="00ED2D43" w:rsidRPr="007B25A9">
        <w:rPr>
          <w:rFonts w:ascii="Trebuchet MS" w:hAnsi="Trebuchet MS"/>
          <w:iCs/>
          <w:sz w:val="22"/>
          <w:szCs w:val="22"/>
        </w:rPr>
        <w:t xml:space="preserve">CDOT </w:t>
      </w:r>
      <w:r w:rsidR="00F07FF0">
        <w:rPr>
          <w:rFonts w:ascii="Trebuchet MS" w:hAnsi="Trebuchet MS"/>
          <w:iCs/>
          <w:sz w:val="22"/>
          <w:szCs w:val="22"/>
        </w:rPr>
        <w:t>e</w:t>
      </w:r>
      <w:r w:rsidR="00ED2D43" w:rsidRPr="007B25A9">
        <w:rPr>
          <w:rFonts w:ascii="Trebuchet MS" w:hAnsi="Trebuchet MS"/>
          <w:iCs/>
          <w:sz w:val="22"/>
          <w:szCs w:val="22"/>
        </w:rPr>
        <w:t xml:space="preserve">ngineering projects with an Engineer's Estimate of $3 million or greater, not including Construction Engineering (CE), Indirect, and Force Account (F/A) item costs. This specification is not intended for use on Local Agency </w:t>
      </w:r>
      <w:r w:rsidR="00F07FF0">
        <w:rPr>
          <w:rFonts w:ascii="Trebuchet MS" w:hAnsi="Trebuchet MS"/>
          <w:iCs/>
          <w:sz w:val="22"/>
          <w:szCs w:val="22"/>
        </w:rPr>
        <w:t>c</w:t>
      </w:r>
      <w:r w:rsidR="00ED2D43" w:rsidRPr="007B25A9">
        <w:rPr>
          <w:rFonts w:ascii="Trebuchet MS" w:hAnsi="Trebuchet MS"/>
          <w:iCs/>
          <w:sz w:val="22"/>
          <w:szCs w:val="22"/>
        </w:rPr>
        <w:t>onstruction projects or on Emergency projects as defined by §24-33.5-704, C.R.S. and Colorado Fiscal Rule 3-1 § 2.9.</w:t>
      </w:r>
    </w:p>
    <w:p w14:paraId="3D9B907E" w14:textId="77777777" w:rsidR="005C4035" w:rsidRDefault="005C4035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63AA5585" w:rsidR="006B3A74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ED2D43">
        <w:rPr>
          <w:rFonts w:ascii="Trebuchet MS" w:hAnsi="Trebuchet MS"/>
          <w:sz w:val="24"/>
          <w:szCs w:val="24"/>
        </w:rPr>
        <w:t>July 1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4A270A71" w:rsidR="00C7499D" w:rsidRDefault="006E50AB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65543C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EB03E" w14:textId="77777777" w:rsidR="00951294" w:rsidRDefault="00951294" w:rsidP="00370CDA">
      <w:r>
        <w:separator/>
      </w:r>
    </w:p>
  </w:endnote>
  <w:endnote w:type="continuationSeparator" w:id="0">
    <w:p w14:paraId="3EC2CA51" w14:textId="77777777" w:rsidR="00951294" w:rsidRDefault="00951294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BEFA" w14:textId="77777777" w:rsidR="00951294" w:rsidRDefault="00951294" w:rsidP="00370CDA">
      <w:r>
        <w:separator/>
      </w:r>
    </w:p>
  </w:footnote>
  <w:footnote w:type="continuationSeparator" w:id="0">
    <w:p w14:paraId="71BFA784" w14:textId="77777777" w:rsidR="00951294" w:rsidRDefault="00951294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1728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4514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6C83"/>
    <w:rsid w:val="001179AB"/>
    <w:rsid w:val="00124509"/>
    <w:rsid w:val="00126D9F"/>
    <w:rsid w:val="00131643"/>
    <w:rsid w:val="00135122"/>
    <w:rsid w:val="001370F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5E36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2B02"/>
    <w:rsid w:val="00343D6C"/>
    <w:rsid w:val="00344887"/>
    <w:rsid w:val="0034639B"/>
    <w:rsid w:val="003503D0"/>
    <w:rsid w:val="003506EE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AB5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38ED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19B2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4A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47DA8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543C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C54AC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5AB7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22D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B7769"/>
    <w:rsid w:val="008C394E"/>
    <w:rsid w:val="008C6A06"/>
    <w:rsid w:val="008C7440"/>
    <w:rsid w:val="008D03C7"/>
    <w:rsid w:val="008D061F"/>
    <w:rsid w:val="008D138C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1294"/>
    <w:rsid w:val="00954F01"/>
    <w:rsid w:val="009603D7"/>
    <w:rsid w:val="00962204"/>
    <w:rsid w:val="00964901"/>
    <w:rsid w:val="009669B2"/>
    <w:rsid w:val="009673B2"/>
    <w:rsid w:val="00967B83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42AC"/>
    <w:rsid w:val="00A55954"/>
    <w:rsid w:val="00A636B1"/>
    <w:rsid w:val="00A63F2E"/>
    <w:rsid w:val="00A70236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B109E8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2363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5FA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0E7D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4E50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292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2D43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07FF0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4A37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B79A1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57D5"/>
    <w:rsid w:val="00FF6AD1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Kayen, Michele</cp:lastModifiedBy>
  <cp:revision>5</cp:revision>
  <cp:lastPrinted>2018-02-02T16:20:00Z</cp:lastPrinted>
  <dcterms:created xsi:type="dcterms:W3CDTF">2025-06-11T15:11:00Z</dcterms:created>
  <dcterms:modified xsi:type="dcterms:W3CDTF">2025-06-18T14:52:00Z</dcterms:modified>
</cp:coreProperties>
</file>