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63B8" w14:textId="6F5A1ED0" w:rsidR="001A139E" w:rsidRPr="00FE0571" w:rsidRDefault="006A21B5" w:rsidP="0065543C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FA446CE" w14:textId="77777777" w:rsidR="00116C83" w:rsidRDefault="00E1359D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</w:p>
    <w:p w14:paraId="6026CCAD" w14:textId="19E2DF7C" w:rsidR="000A14EB" w:rsidRPr="00FE0571" w:rsidRDefault="001F4651" w:rsidP="0065543C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5964FA59" w:rsidR="00AD69E9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D2D43">
        <w:rPr>
          <w:rFonts w:ascii="Trebuchet MS" w:hAnsi="Trebuchet MS"/>
          <w:sz w:val="24"/>
          <w:szCs w:val="24"/>
        </w:rPr>
        <w:t>June 11</w:t>
      </w:r>
      <w:r w:rsidR="005C678E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0F980779" w14:textId="77777777" w:rsidR="00AF21C8" w:rsidRDefault="00AD69E9" w:rsidP="008625A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eastAsia="MS Mincho" w:hAnsi="Trebuchet MS"/>
          <w:sz w:val="22"/>
          <w:szCs w:val="22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8625AD" w:rsidRPr="008625AD">
        <w:rPr>
          <w:rFonts w:ascii="Trebuchet MS" w:hAnsi="Trebuchet MS"/>
          <w:sz w:val="22"/>
          <w:szCs w:val="22"/>
        </w:rPr>
        <w:t xml:space="preserve"> </w:t>
      </w:r>
      <w:r w:rsidR="00AF21C8" w:rsidRPr="00742C16">
        <w:rPr>
          <w:rFonts w:ascii="Trebuchet MS" w:hAnsi="Trebuchet MS"/>
          <w:sz w:val="22"/>
          <w:szCs w:val="22"/>
        </w:rPr>
        <w:t xml:space="preserve">Revision of Section 105 – </w:t>
      </w:r>
      <w:r w:rsidR="00AF21C8" w:rsidRPr="00742C16">
        <w:rPr>
          <w:rFonts w:ascii="Trebuchet MS" w:eastAsia="MS Mincho" w:hAnsi="Trebuchet MS"/>
          <w:sz w:val="22"/>
          <w:szCs w:val="22"/>
        </w:rPr>
        <w:t xml:space="preserve">Dispute </w:t>
      </w:r>
      <w:r w:rsidR="00AF21C8">
        <w:rPr>
          <w:rFonts w:ascii="Trebuchet MS" w:eastAsia="MS Mincho" w:hAnsi="Trebuchet MS"/>
          <w:sz w:val="22"/>
          <w:szCs w:val="22"/>
        </w:rPr>
        <w:t>Resolution,</w:t>
      </w:r>
      <w:r w:rsidR="00AF21C8" w:rsidRPr="00132B61">
        <w:rPr>
          <w:rFonts w:ascii="Trebuchet MS" w:eastAsia="MS Mincho" w:hAnsi="Trebuchet MS"/>
          <w:sz w:val="22"/>
          <w:szCs w:val="22"/>
        </w:rPr>
        <w:t xml:space="preserve"> </w:t>
      </w:r>
    </w:p>
    <w:p w14:paraId="0C9EE967" w14:textId="694B7A19" w:rsidR="002C301A" w:rsidRDefault="00AF21C8" w:rsidP="00AF21C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1080"/>
        <w:outlineLvl w:val="0"/>
        <w:rPr>
          <w:rFonts w:ascii="Trebuchet MS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Dispute Review Board, and </w:t>
      </w:r>
      <w:r w:rsidRPr="00742C16">
        <w:rPr>
          <w:rFonts w:ascii="Trebuchet MS" w:eastAsia="MS Mincho" w:hAnsi="Trebuchet MS"/>
          <w:sz w:val="22"/>
          <w:szCs w:val="22"/>
        </w:rPr>
        <w:t>Claims for Unresolved Disputes</w:t>
      </w:r>
    </w:p>
    <w:p w14:paraId="574AC211" w14:textId="77777777" w:rsidR="008625AD" w:rsidRPr="00FE0571" w:rsidRDefault="008625AD" w:rsidP="008625A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63FB5435" w:rsidR="00A16983" w:rsidRDefault="004E673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standard special provision,</w:t>
      </w:r>
      <w:r w:rsidR="00AF21C8" w:rsidRPr="00AF21C8">
        <w:rPr>
          <w:rFonts w:ascii="Trebuchet MS" w:hAnsi="Trebuchet MS"/>
          <w:sz w:val="22"/>
          <w:szCs w:val="22"/>
        </w:rPr>
        <w:t xml:space="preserve"> </w:t>
      </w:r>
      <w:r w:rsidR="00AF21C8" w:rsidRPr="00742C16">
        <w:rPr>
          <w:rFonts w:ascii="Trebuchet MS" w:hAnsi="Trebuchet MS"/>
          <w:sz w:val="22"/>
          <w:szCs w:val="22"/>
        </w:rPr>
        <w:t xml:space="preserve">Revision of Section 105 – </w:t>
      </w:r>
      <w:r w:rsidR="00AF21C8" w:rsidRPr="00742C16">
        <w:rPr>
          <w:rFonts w:ascii="Trebuchet MS" w:eastAsia="MS Mincho" w:hAnsi="Trebuchet MS"/>
          <w:sz w:val="22"/>
          <w:szCs w:val="22"/>
        </w:rPr>
        <w:t xml:space="preserve">Dispute </w:t>
      </w:r>
      <w:r w:rsidR="00AF21C8">
        <w:rPr>
          <w:rFonts w:ascii="Trebuchet MS" w:eastAsia="MS Mincho" w:hAnsi="Trebuchet MS"/>
          <w:sz w:val="22"/>
          <w:szCs w:val="22"/>
        </w:rPr>
        <w:t>Resolution,</w:t>
      </w:r>
      <w:r w:rsidR="00AF21C8" w:rsidRPr="00132B61">
        <w:rPr>
          <w:rFonts w:ascii="Trebuchet MS" w:eastAsia="MS Mincho" w:hAnsi="Trebuchet MS"/>
          <w:sz w:val="22"/>
          <w:szCs w:val="22"/>
        </w:rPr>
        <w:t xml:space="preserve"> </w:t>
      </w:r>
      <w:r w:rsidR="00AF21C8">
        <w:rPr>
          <w:rFonts w:ascii="Trebuchet MS" w:eastAsia="MS Mincho" w:hAnsi="Trebuchet MS"/>
          <w:sz w:val="22"/>
          <w:szCs w:val="22"/>
        </w:rPr>
        <w:t xml:space="preserve">Dispute Review Board, and </w:t>
      </w:r>
      <w:r w:rsidR="00AF21C8" w:rsidRPr="00742C16">
        <w:rPr>
          <w:rFonts w:ascii="Trebuchet MS" w:eastAsia="MS Mincho" w:hAnsi="Trebuchet MS"/>
          <w:sz w:val="22"/>
          <w:szCs w:val="22"/>
        </w:rPr>
        <w:t>Claims for Unresolved Disputes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AF21C8">
        <w:rPr>
          <w:rFonts w:ascii="Trebuchet MS" w:hAnsi="Trebuchet MS"/>
          <w:sz w:val="24"/>
          <w:szCs w:val="24"/>
        </w:rPr>
        <w:t>2</w:t>
      </w:r>
      <w:r w:rsidR="008625AD">
        <w:rPr>
          <w:rFonts w:ascii="Trebuchet MS" w:hAnsi="Trebuchet MS"/>
          <w:sz w:val="24"/>
          <w:szCs w:val="24"/>
        </w:rPr>
        <w:t>4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ED2D43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725AB7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Pr="008625AD" w:rsidRDefault="00284E98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986CFF" w14:textId="0B479D44" w:rsidR="00452A6B" w:rsidRPr="008625AD" w:rsidRDefault="00ED2D4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8625AD">
        <w:rPr>
          <w:rFonts w:ascii="Trebuchet MS" w:hAnsi="Trebuchet MS"/>
          <w:sz w:val="24"/>
          <w:szCs w:val="24"/>
        </w:rPr>
        <w:t xml:space="preserve">This provision </w:t>
      </w:r>
      <w:r w:rsidR="00487FB3" w:rsidRPr="008625AD">
        <w:rPr>
          <w:rFonts w:ascii="Trebuchet MS" w:hAnsi="Trebuchet MS"/>
          <w:sz w:val="24"/>
          <w:szCs w:val="24"/>
        </w:rPr>
        <w:t>revises</w:t>
      </w:r>
      <w:r w:rsidR="008625AD" w:rsidRPr="008625AD">
        <w:rPr>
          <w:rFonts w:ascii="Trebuchet MS" w:hAnsi="Trebuchet MS"/>
          <w:sz w:val="24"/>
          <w:szCs w:val="24"/>
        </w:rPr>
        <w:t xml:space="preserve"> </w:t>
      </w:r>
      <w:r w:rsidR="00AF21C8">
        <w:rPr>
          <w:rFonts w:ascii="Trebuchet MS" w:hAnsi="Trebuchet MS"/>
          <w:sz w:val="24"/>
          <w:szCs w:val="24"/>
        </w:rPr>
        <w:t xml:space="preserve">the </w:t>
      </w:r>
      <w:r w:rsidR="008625AD" w:rsidRPr="008625AD">
        <w:rPr>
          <w:rFonts w:ascii="Trebuchet MS" w:hAnsi="Trebuchet MS"/>
          <w:sz w:val="24"/>
          <w:szCs w:val="24"/>
        </w:rPr>
        <w:t>Dispute Resolution changes</w:t>
      </w:r>
      <w:r w:rsidR="00AF21C8">
        <w:rPr>
          <w:rFonts w:ascii="Trebuchet MS" w:hAnsi="Trebuchet MS"/>
          <w:sz w:val="24"/>
          <w:szCs w:val="24"/>
        </w:rPr>
        <w:t xml:space="preserve"> as recommended by the audit</w:t>
      </w:r>
      <w:r w:rsidR="000E5BF8">
        <w:rPr>
          <w:rFonts w:ascii="Trebuchet MS" w:hAnsi="Trebuchet MS"/>
          <w:sz w:val="24"/>
          <w:szCs w:val="24"/>
        </w:rPr>
        <w:t xml:space="preserve"> report</w:t>
      </w:r>
      <w:r w:rsidR="008625AD" w:rsidRPr="008625AD">
        <w:rPr>
          <w:rFonts w:ascii="Trebuchet MS" w:hAnsi="Trebuchet MS"/>
          <w:sz w:val="24"/>
          <w:szCs w:val="24"/>
        </w:rPr>
        <w:t>.</w:t>
      </w:r>
    </w:p>
    <w:p w14:paraId="709E67A3" w14:textId="77777777" w:rsidR="00ED2D43" w:rsidRDefault="00ED2D4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52D1364F" w:rsidR="005C4035" w:rsidRDefault="008F77E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u</w:t>
      </w:r>
      <w:r w:rsidR="005C4035" w:rsidRPr="005C4035">
        <w:rPr>
          <w:rFonts w:ascii="Trebuchet MS" w:hAnsi="Trebuchet MS"/>
          <w:sz w:val="24"/>
          <w:szCs w:val="24"/>
        </w:rPr>
        <w:t>se th</w:t>
      </w:r>
      <w:r w:rsidR="00D575C0">
        <w:rPr>
          <w:rFonts w:ascii="Trebuchet MS" w:hAnsi="Trebuchet MS"/>
          <w:sz w:val="24"/>
          <w:szCs w:val="24"/>
        </w:rPr>
        <w:t>is</w:t>
      </w:r>
      <w:r w:rsidR="005C4035" w:rsidRPr="005C4035">
        <w:rPr>
          <w:rFonts w:ascii="Trebuchet MS" w:hAnsi="Trebuchet MS"/>
          <w:sz w:val="24"/>
          <w:szCs w:val="24"/>
        </w:rPr>
        <w:t xml:space="preserve"> on all</w:t>
      </w:r>
      <w:r w:rsidR="00ED2D43" w:rsidRPr="00ED2D43">
        <w:rPr>
          <w:rFonts w:ascii="Trebuchet MS" w:hAnsi="Trebuchet MS"/>
          <w:iCs/>
          <w:sz w:val="22"/>
          <w:szCs w:val="22"/>
        </w:rPr>
        <w:t xml:space="preserve"> </w:t>
      </w:r>
      <w:r w:rsidR="00ED2D43" w:rsidRPr="007B25A9">
        <w:rPr>
          <w:rFonts w:ascii="Trebuchet MS" w:hAnsi="Trebuchet MS"/>
          <w:iCs/>
          <w:sz w:val="22"/>
          <w:szCs w:val="22"/>
        </w:rPr>
        <w:t>projects.</w:t>
      </w:r>
    </w:p>
    <w:p w14:paraId="3D9B907E" w14:textId="77777777" w:rsidR="005C4035" w:rsidRDefault="005C4035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63AA5585" w:rsidR="006B3A74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ED2D43">
        <w:rPr>
          <w:rFonts w:ascii="Trebuchet MS" w:hAnsi="Trebuchet MS"/>
          <w:sz w:val="24"/>
          <w:szCs w:val="24"/>
        </w:rPr>
        <w:t>July 1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4A270A71" w:rsidR="00C7499D" w:rsidRDefault="006E50AB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65543C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843E" w14:textId="77777777" w:rsidR="004E6DD5" w:rsidRDefault="004E6DD5" w:rsidP="00370CDA">
      <w:r>
        <w:separator/>
      </w:r>
    </w:p>
  </w:endnote>
  <w:endnote w:type="continuationSeparator" w:id="0">
    <w:p w14:paraId="19C5D49E" w14:textId="77777777" w:rsidR="004E6DD5" w:rsidRDefault="004E6DD5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EE99" w14:textId="77777777" w:rsidR="004E6DD5" w:rsidRDefault="004E6DD5" w:rsidP="00370CDA">
      <w:r>
        <w:separator/>
      </w:r>
    </w:p>
  </w:footnote>
  <w:footnote w:type="continuationSeparator" w:id="0">
    <w:p w14:paraId="7FB5B0A1" w14:textId="77777777" w:rsidR="004E6DD5" w:rsidRDefault="004E6DD5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1728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E5BF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6C83"/>
    <w:rsid w:val="001179AB"/>
    <w:rsid w:val="00124509"/>
    <w:rsid w:val="00126D9F"/>
    <w:rsid w:val="00131643"/>
    <w:rsid w:val="00135122"/>
    <w:rsid w:val="001370F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3A02"/>
    <w:rsid w:val="003244ED"/>
    <w:rsid w:val="003248E8"/>
    <w:rsid w:val="00331AFA"/>
    <w:rsid w:val="00334446"/>
    <w:rsid w:val="00342B02"/>
    <w:rsid w:val="00343D6C"/>
    <w:rsid w:val="00344887"/>
    <w:rsid w:val="0034639B"/>
    <w:rsid w:val="003503D0"/>
    <w:rsid w:val="003506EE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AB5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29A9"/>
    <w:rsid w:val="00423526"/>
    <w:rsid w:val="00423FF6"/>
    <w:rsid w:val="00424512"/>
    <w:rsid w:val="004266A7"/>
    <w:rsid w:val="0044100E"/>
    <w:rsid w:val="0044165B"/>
    <w:rsid w:val="00441D01"/>
    <w:rsid w:val="004438ED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87FB3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19B2"/>
    <w:rsid w:val="004E2706"/>
    <w:rsid w:val="004E6734"/>
    <w:rsid w:val="004E6DD5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4A"/>
    <w:rsid w:val="005066A2"/>
    <w:rsid w:val="00510EB6"/>
    <w:rsid w:val="005168D3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543C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C54AC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5AB7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22D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25AD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38C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0470"/>
    <w:rsid w:val="00A45F01"/>
    <w:rsid w:val="00A50896"/>
    <w:rsid w:val="00A542AC"/>
    <w:rsid w:val="00A55954"/>
    <w:rsid w:val="00A636B1"/>
    <w:rsid w:val="00A63F2E"/>
    <w:rsid w:val="00A70236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21C8"/>
    <w:rsid w:val="00AF6A3B"/>
    <w:rsid w:val="00AF72CA"/>
    <w:rsid w:val="00B109E8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2363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5FA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0E7D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4E50"/>
    <w:rsid w:val="00D456D6"/>
    <w:rsid w:val="00D47E4C"/>
    <w:rsid w:val="00D5088B"/>
    <w:rsid w:val="00D55128"/>
    <w:rsid w:val="00D575C0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292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2D43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115C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4A37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B79A1"/>
    <w:rsid w:val="00FC0C58"/>
    <w:rsid w:val="00FC1BB9"/>
    <w:rsid w:val="00FC24E6"/>
    <w:rsid w:val="00FC63E8"/>
    <w:rsid w:val="00FC7962"/>
    <w:rsid w:val="00FD751C"/>
    <w:rsid w:val="00FE0571"/>
    <w:rsid w:val="00FE50B6"/>
    <w:rsid w:val="00FF1153"/>
    <w:rsid w:val="00FF57D5"/>
    <w:rsid w:val="00FF6AD1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Kayen, Michele</cp:lastModifiedBy>
  <cp:revision>2</cp:revision>
  <cp:lastPrinted>2018-02-02T16:20:00Z</cp:lastPrinted>
  <dcterms:created xsi:type="dcterms:W3CDTF">2025-06-12T17:04:00Z</dcterms:created>
  <dcterms:modified xsi:type="dcterms:W3CDTF">2025-06-12T17:04:00Z</dcterms:modified>
</cp:coreProperties>
</file>