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2">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 601</w:t>
      </w:r>
    </w:p>
    <w:p w:rsidR="00000000" w:rsidDel="00000000" w:rsidP="00000000" w:rsidRDefault="00000000" w:rsidRPr="00000000" w14:paraId="00000003">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Structural Concrete</w:t>
      </w:r>
    </w:p>
    <w:p w:rsidR="00000000" w:rsidDel="00000000" w:rsidP="00000000" w:rsidRDefault="00000000" w:rsidRPr="00000000" w14:paraId="00000004">
      <w:pPr>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Notice</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bookmarkStart w:colFirst="0" w:colLast="0" w:name="_irgj2icxhmg2" w:id="0"/>
      <w:bookmarkEnd w:id="0"/>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Standard Special Provision (SSP) on the following page revises or modifies CDOT’s</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 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rebuchet MS" w:cs="Trebuchet MS" w:eastAsia="Trebuchet MS" w:hAnsi="Trebuchet MS"/>
          <w:b w:val="0"/>
          <w:i w:val="0"/>
          <w:smallCaps w:val="0"/>
          <w:strike w:val="0"/>
          <w:color w:val="0e101a"/>
          <w:sz w:val="28"/>
          <w:szCs w:val="28"/>
          <w:u w:val="none"/>
          <w:shd w:fill="auto" w:val="clear"/>
          <w:vertAlign w:val="baseline"/>
        </w:rPr>
      </w:pP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Other agencies using the </w:t>
      </w:r>
      <w:r w:rsidDel="00000000" w:rsidR="00000000" w:rsidRPr="00000000">
        <w:rPr>
          <w:rFonts w:ascii="Trebuchet MS" w:cs="Trebuchet MS" w:eastAsia="Trebuchet MS" w:hAnsi="Trebuchet MS"/>
          <w:b w:val="0"/>
          <w:i w:val="1"/>
          <w:smallCaps w:val="0"/>
          <w:strike w:val="0"/>
          <w:color w:val="0e101a"/>
          <w:sz w:val="28"/>
          <w:szCs w:val="28"/>
          <w:u w:val="none"/>
          <w:shd w:fill="auto" w:val="clear"/>
          <w:vertAlign w:val="baseline"/>
          <w:rtl w:val="0"/>
        </w:rPr>
        <w:t xml:space="preserve">Standard Specifications for Road and Bridge Construction </w:t>
      </w:r>
      <w:r w:rsidDel="00000000" w:rsidR="00000000" w:rsidRPr="00000000">
        <w:rPr>
          <w:rFonts w:ascii="Trebuchet MS" w:cs="Trebuchet MS" w:eastAsia="Trebuchet MS" w:hAnsi="Trebuchet MS"/>
          <w:b w:val="0"/>
          <w:i w:val="0"/>
          <w:smallCaps w:val="0"/>
          <w:strike w:val="0"/>
          <w:color w:val="0e101a"/>
          <w:sz w:val="28"/>
          <w:szCs w:val="28"/>
          <w:u w:val="none"/>
          <w:shd w:fill="auto" w:val="clear"/>
          <w:vertAlign w:val="baseline"/>
          <w:rtl w:val="0"/>
        </w:rPr>
        <w:t xml:space="preserve">to administer construction projects may use this special provision appropriately and at their own risk.</w:t>
      </w:r>
    </w:p>
    <w:p w:rsidR="00000000" w:rsidDel="00000000" w:rsidP="00000000" w:rsidRDefault="00000000" w:rsidRPr="00000000" w14:paraId="0000000A">
      <w:pPr>
        <w:ind w:left="360" w:firstLine="0"/>
        <w:rPr>
          <w:sz w:val="28"/>
          <w:szCs w:val="28"/>
        </w:rPr>
      </w:pPr>
      <w:r w:rsidDel="00000000" w:rsidR="00000000" w:rsidRPr="00000000">
        <w:rPr>
          <w:rtl w:val="0"/>
        </w:rPr>
      </w:r>
    </w:p>
    <w:p w:rsidR="00000000" w:rsidDel="00000000" w:rsidP="00000000" w:rsidRDefault="00000000" w:rsidRPr="00000000" w14:paraId="0000000B">
      <w:pPr>
        <w:ind w:left="360" w:firstLine="0"/>
        <w:rPr>
          <w:rFonts w:ascii="Trebuchet MS" w:cs="Trebuchet MS" w:eastAsia="Trebuchet MS" w:hAnsi="Trebuchet MS"/>
          <w:b w:val="1"/>
          <w:color w:val="a50021"/>
          <w:sz w:val="28"/>
          <w:szCs w:val="28"/>
        </w:rPr>
      </w:pPr>
      <w:r w:rsidDel="00000000" w:rsidR="00000000" w:rsidRPr="00000000">
        <w:rPr>
          <w:rFonts w:ascii="Trebuchet MS" w:cs="Trebuchet MS" w:eastAsia="Trebuchet MS" w:hAnsi="Trebuchet MS"/>
          <w:b w:val="1"/>
          <w:color w:val="a50021"/>
          <w:sz w:val="28"/>
          <w:szCs w:val="28"/>
          <w:rtl w:val="0"/>
        </w:rPr>
        <w:t xml:space="preserve">Instructions for use on CDOT construction projects:</w:t>
      </w:r>
    </w:p>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360" w:right="0" w:firstLine="0"/>
        <w:jc w:val="left"/>
        <w:rPr>
          <w:rFonts w:ascii="Trebuchet MS" w:cs="Trebuchet MS" w:eastAsia="Trebuchet MS" w:hAnsi="Trebuchet MS"/>
          <w:b w:val="0"/>
          <w:i w:val="0"/>
          <w:smallCaps w:val="0"/>
          <w:strike w:val="0"/>
          <w:color w:val="ff0000"/>
          <w:sz w:val="22"/>
          <w:szCs w:val="22"/>
          <w:u w:val="none"/>
          <w:shd w:fill="auto" w:val="clear"/>
          <w:vertAlign w:val="baseline"/>
        </w:rPr>
      </w:pPr>
      <w:bookmarkStart w:colFirst="0" w:colLast="0" w:name="_8q7aoz2kvrb6" w:id="1"/>
      <w:bookmarkEnd w:id="1"/>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Use the following standard special provision on all projects with Structural Concrete.</w:t>
      </w:r>
      <w:r w:rsidDel="00000000" w:rsidR="00000000" w:rsidRPr="00000000">
        <w:rPr>
          <w:rFonts w:ascii="Trebuchet MS" w:cs="Trebuchet MS" w:eastAsia="Trebuchet MS" w:hAnsi="Trebuchet MS"/>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 601</w:t>
      </w:r>
    </w:p>
    <w:p w:rsidR="00000000" w:rsidDel="00000000" w:rsidP="00000000" w:rsidRDefault="00000000" w:rsidRPr="00000000" w14:paraId="0000000F">
      <w:pPr>
        <w:spacing w:after="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Structural Concrete</w:t>
      </w:r>
    </w:p>
    <w:p w:rsidR="00000000" w:rsidDel="00000000" w:rsidP="00000000" w:rsidRDefault="00000000" w:rsidRPr="00000000" w14:paraId="00000010">
      <w:pPr>
        <w:spacing w:after="0" w:lineRule="auto"/>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1">
      <w:pPr>
        <w:spacing w:after="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Revise Section 601, Structural Concrete, of the Standard Specifications as follows:</w:t>
      </w:r>
    </w:p>
    <w:p w:rsidR="00000000" w:rsidDel="00000000" w:rsidP="00000000" w:rsidRDefault="00000000" w:rsidRPr="00000000" w14:paraId="00000012">
      <w:pPr>
        <w:spacing w:after="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spacing w:after="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Revise Section 601.08 as follows:</w:t>
      </w:r>
    </w:p>
    <w:p w:rsidR="00000000" w:rsidDel="00000000" w:rsidP="00000000" w:rsidRDefault="00000000" w:rsidRPr="00000000" w14:paraId="00000014">
      <w:pPr>
        <w:spacing w:after="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601.08:  Air Content Adjustment.</w:t>
      </w:r>
      <w:r w:rsidDel="00000000" w:rsidR="00000000" w:rsidRPr="00000000">
        <w:rPr>
          <w:rFonts w:ascii="Trebuchet MS" w:cs="Trebuchet MS" w:eastAsia="Trebuchet MS" w:hAnsi="Trebuchet MS"/>
          <w:sz w:val="24"/>
          <w:szCs w:val="24"/>
          <w:rtl w:val="0"/>
        </w:rPr>
        <w:t xml:space="preserve">  When a batch of concrete delivered to the project does not conform to the minimum specified air content, an air-entraining admixture listed on the approved mix design may be added per subsection 601.17.  After the admixture is added, the concrete shall be re-mixed for a minimum of 20 revolutions of the mixer drum at mixing speed. The concrete shall then be re-tested by PC.</w:t>
      </w:r>
    </w:p>
    <w:p w:rsidR="00000000" w:rsidDel="00000000" w:rsidP="00000000" w:rsidRDefault="00000000" w:rsidRPr="00000000" w14:paraId="00000016">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sz w:val="28"/>
          <w:szCs w:val="28"/>
        </w:rPr>
      </w:pPr>
      <w:r w:rsidDel="00000000" w:rsidR="00000000" w:rsidRPr="00000000">
        <w:rPr>
          <w:rtl w:val="0"/>
        </w:rPr>
      </w:r>
    </w:p>
    <w:sectPr>
      <w:headerReference r:id="rId6" w:type="default"/>
      <w:headerReference r:id="rId7" w:type="first"/>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0" w:lineRule="auto"/>
      <w:jc w:val="right"/>
      <w:rPr>
        <w:rFonts w:ascii="Trebuchet MS" w:cs="Trebuchet MS" w:eastAsia="Trebuchet MS" w:hAnsi="Trebuchet MS"/>
        <w:sz w:val="24"/>
        <w:szCs w:val="24"/>
      </w:rPr>
    </w:pPr>
    <w:r w:rsidDel="00000000" w:rsidR="00000000" w:rsidRPr="00000000">
      <w:rPr>
        <w:rFonts w:ascii="Trebuchet MS" w:cs="Trebuchet MS" w:eastAsia="Trebuchet MS" w:hAnsi="Trebuchet MS"/>
      </w:rPr>
      <w:fldChar w:fldCharType="begin"/>
      <w:instrText xml:space="preserve">PAGE</w:instrText>
      <w:fldChar w:fldCharType="separate"/>
      <w:fldChar w:fldCharType="end"/>
    </w:r>
    <w:r w:rsidDel="00000000" w:rsidR="00000000" w:rsidRPr="00000000">
      <w:rPr>
        <w:rFonts w:ascii="Trebuchet MS" w:cs="Trebuchet MS" w:eastAsia="Trebuchet MS" w:hAnsi="Trebuchet MS"/>
        <w:sz w:val="24"/>
        <w:szCs w:val="24"/>
        <w:rtl w:val="0"/>
      </w:rPr>
      <w:t xml:space="preserve">                                             September 11, 2025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0" w:lineRule="auto"/>
      <w:jc w:val="righ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September 11, 2025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0x0101005C13719FD4BB7D449195C3E2964C091D</vt:lpwstr>
  </property>
  <property fmtid="{D5CDD505-2E9C-101B-9397-08002B2CF9AE}" pid="3" name="MediaServiceImageTags">
    <vt:lpwstr>MediaServiceImageTags</vt:lpwstr>
  </property>
</Properties>
</file>