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rebuchet MS" w:cs="Trebuchet MS" w:eastAsia="Trebuchet MS" w:hAnsi="Trebuchet MS"/>
          <w:sz w:val="40"/>
          <w:szCs w:val="40"/>
        </w:rPr>
      </w:pPr>
      <w:r w:rsidDel="00000000" w:rsidR="00000000" w:rsidRPr="00000000">
        <w:rPr>
          <w:rFonts w:ascii="Trebuchet MS" w:cs="Trebuchet MS" w:eastAsia="Trebuchet MS" w:hAnsi="Trebuchet MS"/>
          <w:sz w:val="40"/>
          <w:szCs w:val="40"/>
          <w:rtl w:val="0"/>
        </w:rPr>
        <w:t xml:space="preserve">Notice</w:t>
      </w:r>
    </w:p>
    <w:p w:rsidR="00000000" w:rsidDel="00000000" w:rsidP="00000000" w:rsidRDefault="00000000" w:rsidRPr="00000000" w14:paraId="00000002">
      <w:pPr>
        <w:tabs>
          <w:tab w:val="left" w:leader="none" w:pos="5517"/>
        </w:tabs>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e101a"/>
          <w:sz w:val="28"/>
          <w:szCs w:val="28"/>
        </w:rPr>
      </w:pPr>
      <w:r w:rsidDel="00000000" w:rsidR="00000000" w:rsidRPr="00000000">
        <w:rPr>
          <w:rFonts w:ascii="Trebuchet MS" w:cs="Trebuchet MS" w:eastAsia="Trebuchet MS" w:hAnsi="Trebuchet MS"/>
          <w:color w:val="0e101a"/>
          <w:sz w:val="28"/>
          <w:szCs w:val="28"/>
          <w:rtl w:val="0"/>
        </w:rPr>
        <w:t xml:space="preserve">The Standard Special Provision (SSP) on the following page revises or modifies CDOT’s </w:t>
      </w:r>
      <w:r w:rsidDel="00000000" w:rsidR="00000000" w:rsidRPr="00000000">
        <w:rPr>
          <w:rFonts w:ascii="Trebuchet MS" w:cs="Trebuchet MS" w:eastAsia="Trebuchet MS" w:hAnsi="Trebuchet MS"/>
          <w:i w:val="1"/>
          <w:color w:val="0e101a"/>
          <w:sz w:val="28"/>
          <w:szCs w:val="28"/>
          <w:rtl w:val="0"/>
        </w:rPr>
        <w:t xml:space="preserve">Standard Specifications for Road and Bridge Construction</w:t>
      </w:r>
      <w:r w:rsidDel="00000000" w:rsidR="00000000" w:rsidRPr="00000000">
        <w:rPr>
          <w:rFonts w:ascii="Trebuchet MS" w:cs="Trebuchet MS" w:eastAsia="Trebuchet MS" w:hAnsi="Trebuchet MS"/>
          <w:color w:val="0e101a"/>
          <w:sz w:val="28"/>
          <w:szCs w:val="28"/>
          <w:rtl w:val="0"/>
        </w:rPr>
        <w:t xml:space="preserve">.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e101a"/>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e101a"/>
          <w:sz w:val="28"/>
          <w:szCs w:val="28"/>
        </w:rPr>
      </w:pPr>
      <w:r w:rsidDel="00000000" w:rsidR="00000000" w:rsidRPr="00000000">
        <w:rPr>
          <w:rFonts w:ascii="Trebuchet MS" w:cs="Trebuchet MS" w:eastAsia="Trebuchet MS" w:hAnsi="Trebuchet MS"/>
          <w:color w:val="0e101a"/>
          <w:sz w:val="28"/>
          <w:szCs w:val="28"/>
          <w:rtl w:val="0"/>
        </w:rPr>
        <w:t xml:space="preserve">Other agencies using the </w:t>
      </w:r>
      <w:r w:rsidDel="00000000" w:rsidR="00000000" w:rsidRPr="00000000">
        <w:rPr>
          <w:rFonts w:ascii="Trebuchet MS" w:cs="Trebuchet MS" w:eastAsia="Trebuchet MS" w:hAnsi="Trebuchet MS"/>
          <w:i w:val="1"/>
          <w:color w:val="0e101a"/>
          <w:sz w:val="28"/>
          <w:szCs w:val="28"/>
          <w:rtl w:val="0"/>
        </w:rPr>
        <w:t xml:space="preserve">Standard Specifications for Road and Bridge Construction</w:t>
      </w:r>
      <w:r w:rsidDel="00000000" w:rsidR="00000000" w:rsidRPr="00000000">
        <w:rPr>
          <w:rFonts w:ascii="Trebuchet MS" w:cs="Trebuchet MS" w:eastAsia="Trebuchet MS" w:hAnsi="Trebuchet MS"/>
          <w:color w:val="0e101a"/>
          <w:sz w:val="28"/>
          <w:szCs w:val="28"/>
          <w:rtl w:val="0"/>
        </w:rPr>
        <w:t xml:space="preserve"> to administer construction projects may use this special provision appropriately and at their own risk.</w:t>
      </w:r>
    </w:p>
    <w:p w:rsidR="00000000" w:rsidDel="00000000" w:rsidP="00000000" w:rsidRDefault="00000000" w:rsidRPr="00000000" w14:paraId="00000006">
      <w:pPr>
        <w:spacing w:after="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7">
      <w:pPr>
        <w:spacing w:after="120" w:line="240" w:lineRule="auto"/>
        <w:rPr>
          <w:rFonts w:ascii="Trebuchet MS" w:cs="Trebuchet MS" w:eastAsia="Trebuchet MS" w:hAnsi="Trebuchet MS"/>
          <w:b w:val="1"/>
          <w:color w:val="0070c0"/>
          <w:sz w:val="24"/>
          <w:szCs w:val="24"/>
        </w:rPr>
      </w:pPr>
      <w:r w:rsidDel="00000000" w:rsidR="00000000" w:rsidRPr="00000000">
        <w:rPr>
          <w:rFonts w:ascii="Trebuchet MS" w:cs="Trebuchet MS" w:eastAsia="Trebuchet MS" w:hAnsi="Trebuchet MS"/>
          <w:b w:val="1"/>
          <w:color w:val="0070c0"/>
          <w:sz w:val="24"/>
          <w:szCs w:val="24"/>
          <w:rtl w:val="0"/>
        </w:rPr>
        <w:t xml:space="preserve">Instructions for use on CDOT (and local agency-administered) construction projects:</w:t>
      </w:r>
    </w:p>
    <w:p w:rsidR="00000000" w:rsidDel="00000000" w:rsidP="00000000" w:rsidRDefault="00000000" w:rsidRPr="00000000" w14:paraId="00000008">
      <w:pPr>
        <w:rPr/>
      </w:pPr>
      <w:r w:rsidDel="00000000" w:rsidR="00000000" w:rsidRPr="00000000">
        <w:rPr>
          <w:rFonts w:ascii="Trebuchet MS" w:cs="Trebuchet MS" w:eastAsia="Trebuchet MS" w:hAnsi="Trebuchet MS"/>
          <w:sz w:val="26"/>
          <w:szCs w:val="26"/>
          <w:rtl w:val="0"/>
        </w:rPr>
        <w:t xml:space="preserve">Use this standard special provision on all federal-aid highway (FHWA) funded (CDOT and Local Agency administered) Infrastructure projects that have a federal funding Construction Phase authorization date that has occurred on or after October 1, 2025, and that contain $500,000 or more in federal-aid highway funding.  Design Project Managers should consult with their respective Region Business Office or HQ Business Office to determine the type and amount of</w:t>
      </w:r>
      <w:r w:rsidDel="00000000" w:rsidR="00000000" w:rsidRPr="00000000">
        <w:rPr>
          <w:rFonts w:ascii="Trebuchet MS" w:cs="Trebuchet MS" w:eastAsia="Trebuchet MS" w:hAnsi="Trebuchet MS"/>
          <w:sz w:val="26"/>
          <w:szCs w:val="26"/>
          <w:rtl w:val="0"/>
        </w:rPr>
        <w:t xml:space="preserve"> federal-aid highway funding</w:t>
      </w:r>
      <w:r w:rsidDel="00000000" w:rsidR="00000000" w:rsidRPr="00000000">
        <w:rPr>
          <w:rFonts w:ascii="Trebuchet MS" w:cs="Trebuchet MS" w:eastAsia="Trebuchet MS" w:hAnsi="Trebuchet MS"/>
          <w:sz w:val="26"/>
          <w:szCs w:val="26"/>
          <w:rtl w:val="0"/>
        </w:rPr>
        <w:t xml:space="preserve"> that has been or will be used in the projects.  The $500,000 threshold is to be based on the aggregate (total amount) of </w:t>
      </w:r>
      <w:r w:rsidDel="00000000" w:rsidR="00000000" w:rsidRPr="00000000">
        <w:rPr>
          <w:rFonts w:ascii="Trebuchet MS" w:cs="Trebuchet MS" w:eastAsia="Trebuchet MS" w:hAnsi="Trebuchet MS"/>
          <w:sz w:val="26"/>
          <w:szCs w:val="26"/>
          <w:rtl w:val="0"/>
        </w:rPr>
        <w:t xml:space="preserve">federal-aid funding</w:t>
      </w:r>
      <w:r w:rsidDel="00000000" w:rsidR="00000000" w:rsidRPr="00000000">
        <w:rPr>
          <w:rFonts w:ascii="Trebuchet MS" w:cs="Trebuchet MS" w:eastAsia="Trebuchet MS" w:hAnsi="Trebuchet MS"/>
          <w:sz w:val="26"/>
          <w:szCs w:val="26"/>
          <w:rtl w:val="0"/>
        </w:rPr>
        <w:t xml:space="preserve"> used or to be used in all phases of the project, including construction and any preliminary </w:t>
      </w:r>
      <w:r w:rsidDel="00000000" w:rsidR="00000000" w:rsidRPr="00000000">
        <w:rPr>
          <w:rFonts w:ascii="Trebuchet MS" w:cs="Trebuchet MS" w:eastAsia="Trebuchet MS" w:hAnsi="Trebuchet MS"/>
          <w:sz w:val="26"/>
          <w:szCs w:val="26"/>
          <w:rtl w:val="0"/>
        </w:rPr>
        <w:t xml:space="preserve">e</w:t>
      </w:r>
      <w:r w:rsidDel="00000000" w:rsidR="00000000" w:rsidRPr="00000000">
        <w:rPr>
          <w:rFonts w:ascii="Trebuchet MS" w:cs="Trebuchet MS" w:eastAsia="Trebuchet MS" w:hAnsi="Trebuchet MS"/>
          <w:sz w:val="26"/>
          <w:szCs w:val="26"/>
          <w:rtl w:val="0"/>
        </w:rPr>
        <w:t xml:space="preserve">ngineering phases (e.g., Right-of-way, Utilities, Design, Environmental, or Miscellaneous).  The federal funding authorization date for the construction phase may also be viewed in the Project Status Report (ZJ40 Report) from SAP under the FHWA Agreement Date column.  </w:t>
      </w:r>
      <w:r w:rsidDel="00000000" w:rsidR="00000000" w:rsidRPr="00000000">
        <w:br w:type="page"/>
      </w:r>
      <w:r w:rsidDel="00000000" w:rsidR="00000000" w:rsidRPr="00000000">
        <w:rPr>
          <w:rtl w:val="0"/>
        </w:rPr>
      </w:r>
    </w:p>
    <w:p w:rsidR="00000000" w:rsidDel="00000000" w:rsidP="00000000" w:rsidRDefault="00000000" w:rsidRPr="00000000" w14:paraId="00000009">
      <w:pPr>
        <w:widowControl w:val="0"/>
        <w:spacing w:after="0" w:line="240" w:lineRule="auto"/>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Revision of Section 106</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sz w:val="28"/>
          <w:szCs w:val="28"/>
          <w:rtl w:val="0"/>
        </w:rPr>
        <w:t xml:space="preserve"> Buy America (BA) and Build America Buy America (BABA) </w:t>
      </w:r>
      <w:r w:rsidDel="00000000" w:rsidR="00000000" w:rsidRPr="00000000">
        <w:rPr>
          <w:rFonts w:ascii="Trebuchet MS" w:cs="Trebuchet MS" w:eastAsia="Trebuchet MS" w:hAnsi="Trebuchet MS"/>
          <w:b w:val="1"/>
          <w:color w:val="000000"/>
          <w:sz w:val="28"/>
          <w:szCs w:val="28"/>
          <w:rtl w:val="0"/>
        </w:rPr>
        <w:t xml:space="preserve">Requirements – Projects with more than $500,000 in Federal-Aid Highway Funding</w:t>
      </w: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Section 106 of the Standard Specifications shall be revised as follows:</w:t>
      </w:r>
    </w:p>
    <w:p w:rsidR="00000000" w:rsidDel="00000000" w:rsidP="00000000" w:rsidRDefault="00000000" w:rsidRPr="00000000" w14:paraId="0000000D">
      <w:pPr>
        <w:pStyle w:val="Heading1"/>
        <w:rPr/>
      </w:pPr>
      <w:r w:rsidDel="00000000" w:rsidR="00000000" w:rsidRPr="00000000">
        <w:rPr>
          <w:rtl w:val="0"/>
        </w:rPr>
        <w:t xml:space="preserve">Delete Section 106.11(a) of the Standard Specifications and replace it with the following:</w:t>
      </w:r>
    </w:p>
    <w:p w:rsidR="00000000" w:rsidDel="00000000" w:rsidP="00000000" w:rsidRDefault="00000000" w:rsidRPr="00000000" w14:paraId="0000000E">
      <w:pPr>
        <w:spacing w:after="0" w:line="240" w:lineRule="auto"/>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0F">
      <w:pPr>
        <w:widowControl w:val="0"/>
        <w:numPr>
          <w:ilvl w:val="0"/>
          <w:numId w:val="3"/>
        </w:numPr>
        <w:pBdr>
          <w:top w:space="0" w:sz="0" w:val="nil"/>
          <w:left w:space="0" w:sz="0" w:val="nil"/>
          <w:bottom w:space="0" w:sz="0" w:val="nil"/>
          <w:right w:space="0" w:sz="0" w:val="nil"/>
          <w:between w:space="0" w:sz="0" w:val="nil"/>
        </w:pBdr>
        <w:spacing w:after="0" w:line="240" w:lineRule="auto"/>
        <w:ind w:left="337" w:right="121" w:hanging="360"/>
        <w:rPr/>
      </w:pPr>
      <w:r w:rsidDel="00000000" w:rsidR="00000000" w:rsidRPr="00000000">
        <w:rPr>
          <w:rFonts w:ascii="Trebuchet MS" w:cs="Trebuchet MS" w:eastAsia="Trebuchet MS" w:hAnsi="Trebuchet MS"/>
          <w:i w:val="1"/>
          <w:sz w:val="24"/>
          <w:szCs w:val="24"/>
          <w:rtl w:val="0"/>
        </w:rPr>
        <w:t xml:space="preserve">Contractual Documents.</w:t>
      </w:r>
      <w:r w:rsidDel="00000000" w:rsidR="00000000" w:rsidRPr="00000000">
        <w:rPr>
          <w:rFonts w:ascii="Trebuchet MS" w:cs="Trebuchet MS" w:eastAsia="Trebuchet MS" w:hAnsi="Trebuchet MS"/>
          <w:sz w:val="24"/>
          <w:szCs w:val="24"/>
          <w:rtl w:val="0"/>
        </w:rPr>
        <w:t xml:space="preserve"> This specification shall be used in conjunction with the applicable version of the Special Notice to Contractors section of the CDOT Field Materials Manual (FMM), and the requirements therein, in effect at the time of bidding. </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40" w:lineRule="auto"/>
        <w:ind w:right="121"/>
        <w:rPr/>
      </w:pPr>
      <w:r w:rsidDel="00000000" w:rsidR="00000000" w:rsidRPr="00000000">
        <w:rPr>
          <w:rtl w:val="0"/>
        </w:rPr>
      </w:r>
    </w:p>
    <w:p w:rsidR="00000000" w:rsidDel="00000000" w:rsidP="00000000" w:rsidRDefault="00000000" w:rsidRPr="00000000" w14:paraId="00000011">
      <w:pPr>
        <w:pStyle w:val="Heading2"/>
        <w:rPr/>
      </w:pPr>
      <w:r w:rsidDel="00000000" w:rsidR="00000000" w:rsidRPr="00000000">
        <w:rPr>
          <w:rtl w:val="0"/>
        </w:rPr>
        <w:t xml:space="preserve">Delete Section 106.11(d) of the Standard Specifications and replace it with the following:</w:t>
      </w:r>
    </w:p>
    <w:p w:rsidR="00000000" w:rsidDel="00000000" w:rsidP="00000000" w:rsidRDefault="00000000" w:rsidRPr="00000000" w14:paraId="00000012">
      <w:pPr>
        <w:spacing w:after="0" w:line="240" w:lineRule="auto"/>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13">
      <w:pPr>
        <w:widowControl w:val="0"/>
        <w:numPr>
          <w:ilvl w:val="0"/>
          <w:numId w:val="2"/>
        </w:numPr>
        <w:pBdr>
          <w:top w:space="0" w:sz="0" w:val="nil"/>
          <w:left w:space="0" w:sz="0" w:val="nil"/>
          <w:bottom w:space="0" w:sz="0" w:val="nil"/>
          <w:right w:space="0" w:sz="0" w:val="nil"/>
          <w:between w:space="0" w:sz="0" w:val="nil"/>
        </w:pBdr>
        <w:spacing w:after="0" w:line="240" w:lineRule="auto"/>
        <w:ind w:left="360" w:right="121" w:hanging="360"/>
        <w:rPr>
          <w:rFonts w:ascii="Trebuchet MS" w:cs="Trebuchet MS" w:eastAsia="Trebuchet MS" w:hAnsi="Trebuchet MS"/>
          <w:i w:val="1"/>
          <w:color w:val="000000"/>
          <w:sz w:val="24"/>
          <w:szCs w:val="24"/>
        </w:rPr>
      </w:pPr>
      <w:bookmarkStart w:colFirst="0" w:colLast="0" w:name="_w9ggax2j7xgz" w:id="0"/>
      <w:bookmarkEnd w:id="0"/>
      <w:r w:rsidDel="00000000" w:rsidR="00000000" w:rsidRPr="00000000">
        <w:rPr>
          <w:rFonts w:ascii="Trebuchet MS" w:cs="Trebuchet MS" w:eastAsia="Trebuchet MS" w:hAnsi="Trebuchet MS"/>
          <w:i w:val="1"/>
          <w:color w:val="000000"/>
          <w:sz w:val="24"/>
          <w:szCs w:val="24"/>
          <w:rtl w:val="0"/>
        </w:rPr>
        <w:t xml:space="preserve">Manufactured Products.</w:t>
      </w:r>
      <w:r w:rsidDel="00000000" w:rsidR="00000000" w:rsidRPr="00000000">
        <w:rPr>
          <w:rFonts w:ascii="Trebuchet MS" w:cs="Trebuchet MS" w:eastAsia="Trebuchet MS" w:hAnsi="Trebuchet MS"/>
          <w:color w:val="000000"/>
          <w:sz w:val="24"/>
          <w:szCs w:val="24"/>
          <w:rtl w:val="0"/>
        </w:rPr>
        <w:t xml:space="preserve"> Manufactured products used and permanently incorporated shall be produced in the United States.  The manufactured product must meet the following:</w:t>
      </w:r>
      <w:r w:rsidDel="00000000" w:rsidR="00000000" w:rsidRPr="00000000">
        <w:rPr>
          <w:rtl w:val="0"/>
        </w:rPr>
      </w:r>
    </w:p>
    <w:p w:rsidR="00000000" w:rsidDel="00000000" w:rsidP="00000000" w:rsidRDefault="00000000" w:rsidRPr="00000000" w14:paraId="00000014">
      <w:pPr>
        <w:widowControl w:val="0"/>
        <w:numPr>
          <w:ilvl w:val="1"/>
          <w:numId w:val="1"/>
        </w:numPr>
        <w:pBdr>
          <w:top w:space="0" w:sz="0" w:val="nil"/>
          <w:left w:space="0" w:sz="0" w:val="nil"/>
          <w:bottom w:space="0" w:sz="0" w:val="nil"/>
          <w:right w:space="0" w:sz="0" w:val="nil"/>
          <w:between w:space="0" w:sz="0" w:val="nil"/>
        </w:pBdr>
        <w:spacing w:after="0" w:before="240" w:line="240" w:lineRule="auto"/>
        <w:ind w:left="1057" w:right="121" w:hanging="360"/>
        <w:rPr>
          <w:rFonts w:ascii="Trebuchet MS" w:cs="Trebuchet MS" w:eastAsia="Trebuchet MS" w:hAnsi="Trebuchet MS"/>
          <w:i w:val="1"/>
          <w:sz w:val="24"/>
          <w:szCs w:val="24"/>
        </w:rPr>
      </w:pPr>
      <w:r w:rsidDel="00000000" w:rsidR="00000000" w:rsidRPr="00000000">
        <w:rPr>
          <w:rFonts w:ascii="Trebuchet MS" w:cs="Trebuchet MS" w:eastAsia="Trebuchet MS" w:hAnsi="Trebuchet MS"/>
          <w:sz w:val="24"/>
          <w:szCs w:val="24"/>
          <w:rtl w:val="0"/>
        </w:rPr>
        <w:t xml:space="preserve">Buy America requirements apply to any steel or iron component of a manufactured product, regardless of the overall composition of the manufactured product.</w:t>
      </w:r>
      <w:r w:rsidDel="00000000" w:rsidR="00000000" w:rsidRPr="00000000">
        <w:rPr>
          <w:rtl w:val="0"/>
        </w:rPr>
      </w:r>
    </w:p>
    <w:p w:rsidR="00000000" w:rsidDel="00000000" w:rsidP="00000000" w:rsidRDefault="00000000" w:rsidRPr="00000000" w14:paraId="00000015">
      <w:pPr>
        <w:widowControl w:val="0"/>
        <w:numPr>
          <w:ilvl w:val="1"/>
          <w:numId w:val="1"/>
        </w:numPr>
        <w:pBdr>
          <w:top w:space="0" w:sz="0" w:val="nil"/>
          <w:left w:space="0" w:sz="0" w:val="nil"/>
          <w:bottom w:space="0" w:sz="0" w:val="nil"/>
          <w:right w:space="0" w:sz="0" w:val="nil"/>
          <w:between w:space="0" w:sz="0" w:val="nil"/>
        </w:pBdr>
        <w:spacing w:after="0" w:line="240" w:lineRule="auto"/>
        <w:ind w:left="1057" w:right="121" w:hanging="360"/>
        <w:rPr>
          <w:rFonts w:ascii="Trebuchet MS" w:cs="Trebuchet MS" w:eastAsia="Trebuchet MS" w:hAnsi="Trebuchet MS"/>
          <w:i w:val="1"/>
          <w:sz w:val="24"/>
          <w:szCs w:val="24"/>
        </w:rPr>
      </w:pPr>
      <w:r w:rsidDel="00000000" w:rsidR="00000000" w:rsidRPr="00000000">
        <w:rPr>
          <w:rFonts w:ascii="Trebuchet MS" w:cs="Trebuchet MS" w:eastAsia="Trebuchet MS" w:hAnsi="Trebuchet MS"/>
          <w:sz w:val="24"/>
          <w:szCs w:val="24"/>
          <w:rtl w:val="0"/>
        </w:rPr>
        <w:t xml:space="preserve">Final assembly of the manufactured product must have occurred in the United States.</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ind w:right="121"/>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ind w:left="360" w:right="121"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Before the permanent incorporation into the project and before payment for all manufactured products, the Contractor shall obtain a certification from the Manufacturer of the product, who has performed the final assembly of the product, and submit it to the Project Engineer.  The certification shall attest that any iron/steel utilized in the manufactured product is compliant with Buy America requirements, and that the final assembly of the product occurred in the United States.  </w:t>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widowControl w:val="0"/>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jc w:val="right"/>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September 11, 2025</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rebuchet MS" w:cs="Trebuchet MS" w:eastAsia="Trebuchet MS" w:hAnsi="Trebuchet MS"/>
        <w:color w:val="000000"/>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widowControl w:val="0"/>
      <w:spacing w:after="0" w:line="240" w:lineRule="auto"/>
      <w:jc w:val="right"/>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D">
    <w:pPr>
      <w:widowControl w:val="0"/>
      <w:spacing w:after="0" w:line="240" w:lineRule="auto"/>
      <w:jc w:val="right"/>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E">
    <w:pPr>
      <w:widowControl w:val="0"/>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jc w:val="right"/>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September 11, 2025</w:t>
    </w:r>
  </w:p>
  <w:p w:rsidR="00000000" w:rsidDel="00000000" w:rsidP="00000000" w:rsidRDefault="00000000" w:rsidRPr="00000000" w14:paraId="00000020">
    <w:pPr>
      <w:widowControl w:val="0"/>
      <w:spacing w:after="0" w:line="240" w:lineRule="auto"/>
      <w:jc w:val="right"/>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21">
    <w:pPr>
      <w:widowControl w:val="0"/>
      <w:spacing w:after="0" w:line="240" w:lineRule="auto"/>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Revision of Section 106</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 Buy America (BA) and Build America Buy America (BABA) Requirements – Projects with $500,000 or more in Federal-Aid Highway Funding</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rebuchet MS" w:cs="Trebuchet MS" w:eastAsia="Trebuchet MS" w:hAnsi="Trebuchet MS"/>
        <w:color w:val="ff0000"/>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lowerLetter"/>
      <w:lvlText w:val="(%1)"/>
      <w:lvlJc w:val="left"/>
      <w:pPr>
        <w:ind w:left="337" w:hanging="360"/>
      </w:pPr>
      <w:rPr>
        <w:rFonts w:ascii="Arial" w:cs="Arial" w:eastAsia="Arial" w:hAnsi="Arial"/>
        <w:b w:val="0"/>
        <w:i w:val="0"/>
        <w:color w:val="000000"/>
      </w:rPr>
    </w:lvl>
    <w:lvl w:ilvl="1">
      <w:start w:val="1"/>
      <w:numFmt w:val="decimal"/>
      <w:lvlText w:val="%2."/>
      <w:lvlJc w:val="left"/>
      <w:pPr>
        <w:ind w:left="1057" w:hanging="360"/>
      </w:pPr>
      <w:rPr/>
    </w:lvl>
    <w:lvl w:ilvl="2">
      <w:start w:val="1"/>
      <w:numFmt w:val="lowerRoman"/>
      <w:lvlText w:val="%3."/>
      <w:lvlJc w:val="right"/>
      <w:pPr>
        <w:ind w:left="1777" w:hanging="180"/>
      </w:pPr>
      <w:rPr/>
    </w:lvl>
    <w:lvl w:ilvl="3">
      <w:start w:val="1"/>
      <w:numFmt w:val="decimal"/>
      <w:lvlText w:val="%4."/>
      <w:lvlJc w:val="left"/>
      <w:pPr>
        <w:ind w:left="2497" w:hanging="360"/>
      </w:pPr>
      <w:rPr/>
    </w:lvl>
    <w:lvl w:ilvl="4">
      <w:start w:val="1"/>
      <w:numFmt w:val="lowerLetter"/>
      <w:lvlText w:val="%5."/>
      <w:lvlJc w:val="left"/>
      <w:pPr>
        <w:ind w:left="3217" w:hanging="360"/>
      </w:pPr>
      <w:rPr/>
    </w:lvl>
    <w:lvl w:ilvl="5">
      <w:start w:val="1"/>
      <w:numFmt w:val="lowerRoman"/>
      <w:lvlText w:val="%6."/>
      <w:lvlJc w:val="right"/>
      <w:pPr>
        <w:ind w:left="3937" w:hanging="180"/>
      </w:pPr>
      <w:rPr/>
    </w:lvl>
    <w:lvl w:ilvl="6">
      <w:start w:val="1"/>
      <w:numFmt w:val="decimal"/>
      <w:lvlText w:val="%7."/>
      <w:lvlJc w:val="left"/>
      <w:pPr>
        <w:ind w:left="4657" w:hanging="360"/>
      </w:pPr>
      <w:rPr/>
    </w:lvl>
    <w:lvl w:ilvl="7">
      <w:start w:val="1"/>
      <w:numFmt w:val="lowerLetter"/>
      <w:lvlText w:val="%8."/>
      <w:lvlJc w:val="left"/>
      <w:pPr>
        <w:ind w:left="5377" w:hanging="360"/>
      </w:pPr>
      <w:rPr/>
    </w:lvl>
    <w:lvl w:ilvl="8">
      <w:start w:val="1"/>
      <w:numFmt w:val="lowerRoman"/>
      <w:lvlText w:val="%9."/>
      <w:lvlJc w:val="right"/>
      <w:pPr>
        <w:ind w:left="6097" w:hanging="180"/>
      </w:pPr>
      <w:rPr/>
    </w:lvl>
  </w:abstractNum>
  <w:abstractNum w:abstractNumId="2">
    <w:lvl w:ilvl="0">
      <w:start w:val="4"/>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337" w:hanging="360"/>
      </w:pPr>
      <w:rPr>
        <w:rFonts w:ascii="Arial" w:cs="Arial" w:eastAsia="Arial" w:hAnsi="Arial"/>
        <w:b w:val="0"/>
        <w:i w:val="0"/>
        <w:strike w:val="0"/>
        <w:color w:val="000000"/>
      </w:rPr>
    </w:lvl>
    <w:lvl w:ilvl="1">
      <w:start w:val="1"/>
      <w:numFmt w:val="decimal"/>
      <w:lvlText w:val="%2."/>
      <w:lvlJc w:val="left"/>
      <w:pPr>
        <w:ind w:left="1057" w:hanging="360"/>
      </w:pPr>
      <w:rPr/>
    </w:lvl>
    <w:lvl w:ilvl="2">
      <w:start w:val="1"/>
      <w:numFmt w:val="lowerRoman"/>
      <w:lvlText w:val="%3."/>
      <w:lvlJc w:val="right"/>
      <w:pPr>
        <w:ind w:left="1777" w:hanging="180"/>
      </w:pPr>
      <w:rPr/>
    </w:lvl>
    <w:lvl w:ilvl="3">
      <w:start w:val="1"/>
      <w:numFmt w:val="decimal"/>
      <w:lvlText w:val="%4."/>
      <w:lvlJc w:val="left"/>
      <w:pPr>
        <w:ind w:left="2497" w:hanging="360"/>
      </w:pPr>
      <w:rPr/>
    </w:lvl>
    <w:lvl w:ilvl="4">
      <w:start w:val="1"/>
      <w:numFmt w:val="lowerLetter"/>
      <w:lvlText w:val="%5."/>
      <w:lvlJc w:val="left"/>
      <w:pPr>
        <w:ind w:left="3217" w:hanging="360"/>
      </w:pPr>
      <w:rPr/>
    </w:lvl>
    <w:lvl w:ilvl="5">
      <w:start w:val="1"/>
      <w:numFmt w:val="lowerRoman"/>
      <w:lvlText w:val="%6."/>
      <w:lvlJc w:val="right"/>
      <w:pPr>
        <w:ind w:left="3937" w:hanging="180"/>
      </w:pPr>
      <w:rPr/>
    </w:lvl>
    <w:lvl w:ilvl="6">
      <w:start w:val="1"/>
      <w:numFmt w:val="decimal"/>
      <w:lvlText w:val="%7."/>
      <w:lvlJc w:val="left"/>
      <w:pPr>
        <w:ind w:left="4657" w:hanging="360"/>
      </w:pPr>
      <w:rPr/>
    </w:lvl>
    <w:lvl w:ilvl="7">
      <w:start w:val="1"/>
      <w:numFmt w:val="lowerLetter"/>
      <w:lvlText w:val="%8."/>
      <w:lvlJc w:val="left"/>
      <w:pPr>
        <w:ind w:left="5377" w:hanging="360"/>
      </w:pPr>
      <w:rPr/>
    </w:lvl>
    <w:lvl w:ilvl="8">
      <w:start w:val="1"/>
      <w:numFmt w:val="lowerRoman"/>
      <w:lvlText w:val="%9."/>
      <w:lvlJc w:val="right"/>
      <w:pPr>
        <w:ind w:left="6097"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120" w:line="240" w:lineRule="auto"/>
    </w:pPr>
    <w:rPr>
      <w:rFonts w:ascii="Trebuchet MS" w:cs="Trebuchet MS" w:eastAsia="Trebuchet MS" w:hAnsi="Trebuchet MS"/>
      <w:b w:val="1"/>
      <w:sz w:val="24"/>
      <w:szCs w:val="24"/>
    </w:rPr>
  </w:style>
  <w:style w:type="paragraph" w:styleId="Heading2">
    <w:name w:val="heading 2"/>
    <w:basedOn w:val="Normal"/>
    <w:next w:val="Normal"/>
    <w:pPr>
      <w:widowControl w:val="0"/>
      <w:pBdr>
        <w:top w:space="0" w:sz="0" w:val="nil"/>
        <w:left w:space="0" w:sz="0" w:val="nil"/>
        <w:bottom w:space="0" w:sz="0" w:val="nil"/>
        <w:right w:space="0" w:sz="0" w:val="nil"/>
        <w:between w:space="0" w:sz="0" w:val="nil"/>
      </w:pBdr>
      <w:spacing w:after="0" w:before="4" w:line="240" w:lineRule="auto"/>
    </w:pPr>
    <w:rPr>
      <w:rFonts w:ascii="Trebuchet MS" w:cs="Trebuchet MS" w:eastAsia="Trebuchet MS" w:hAnsi="Trebuchet MS"/>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